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EDA6A" w14:textId="6ABED696" w:rsidR="695BD78B" w:rsidRDefault="695BD78B" w:rsidP="695BD78B">
      <w:pPr>
        <w:spacing w:after="160" w:line="276" w:lineRule="auto"/>
        <w:ind w:left="357" w:hanging="357"/>
        <w:rPr>
          <w:rFonts w:eastAsia="Arial" w:cs="Arial"/>
        </w:rPr>
      </w:pPr>
    </w:p>
    <w:p w14:paraId="43C264BC" w14:textId="0771966F" w:rsidR="365021D1" w:rsidRDefault="365021D1" w:rsidP="695BD78B">
      <w:pPr>
        <w:pStyle w:val="Title1"/>
        <w:spacing w:line="276" w:lineRule="auto"/>
        <w:rPr>
          <w:rFonts w:eastAsia="Arial" w:cs="Arial"/>
        </w:rPr>
      </w:pPr>
      <w:r w:rsidRPr="17621ED5">
        <w:rPr>
          <w:rFonts w:eastAsia="Arial" w:cs="Arial"/>
        </w:rPr>
        <w:t xml:space="preserve">COP26 and the Net Zero Strategy – </w:t>
      </w:r>
      <w:r w:rsidR="741008CD" w:rsidRPr="17621ED5">
        <w:rPr>
          <w:rFonts w:eastAsia="Arial" w:cs="Arial"/>
        </w:rPr>
        <w:t>next steps</w:t>
      </w:r>
    </w:p>
    <w:p w14:paraId="0366391E" w14:textId="61226BE8" w:rsidR="695BD78B" w:rsidRDefault="695BD78B" w:rsidP="695BD78B">
      <w:pPr>
        <w:spacing w:after="160" w:line="276" w:lineRule="auto"/>
        <w:ind w:left="357" w:hanging="357"/>
        <w:rPr>
          <w:rFonts w:eastAsia="Arial" w:cs="Arial"/>
        </w:rPr>
      </w:pPr>
    </w:p>
    <w:p w14:paraId="5054AFE6" w14:textId="527B804A" w:rsidR="365021D1" w:rsidRDefault="365021D1" w:rsidP="695BD78B">
      <w:pPr>
        <w:spacing w:after="160" w:line="276" w:lineRule="auto"/>
        <w:ind w:left="357" w:hanging="357"/>
        <w:rPr>
          <w:rFonts w:eastAsia="Arial" w:cs="Arial"/>
        </w:rPr>
      </w:pPr>
      <w:r w:rsidRPr="695BD78B">
        <w:rPr>
          <w:rStyle w:val="Style6"/>
          <w:rFonts w:eastAsia="Arial" w:cs="Arial"/>
        </w:rPr>
        <w:t>Purpose of report</w:t>
      </w:r>
    </w:p>
    <w:p w14:paraId="5D73885C" w14:textId="66B57C01" w:rsidR="365021D1" w:rsidRPr="004A3577" w:rsidRDefault="365021D1" w:rsidP="695BD78B">
      <w:pPr>
        <w:spacing w:after="160" w:line="276" w:lineRule="auto"/>
        <w:ind w:left="357" w:hanging="357"/>
        <w:rPr>
          <w:rFonts w:eastAsia="Arial" w:cs="Arial"/>
          <w:i/>
          <w:iCs/>
        </w:rPr>
      </w:pPr>
      <w:r w:rsidRPr="004A3577">
        <w:rPr>
          <w:rStyle w:val="Title3Char"/>
          <w:rFonts w:eastAsia="Arial" w:cs="Arial"/>
          <w:i w:val="0"/>
          <w:iCs w:val="0"/>
        </w:rPr>
        <w:t>For direction</w:t>
      </w:r>
      <w:r w:rsidR="004A3577">
        <w:rPr>
          <w:rStyle w:val="Title3Char"/>
          <w:rFonts w:eastAsia="Arial" w:cs="Arial"/>
          <w:i w:val="0"/>
          <w:iCs w:val="0"/>
        </w:rPr>
        <w:t>.</w:t>
      </w:r>
    </w:p>
    <w:p w14:paraId="224C29B9" w14:textId="62189D76" w:rsidR="695BD78B" w:rsidRDefault="695BD78B" w:rsidP="695BD78B">
      <w:pPr>
        <w:spacing w:after="160" w:line="276" w:lineRule="auto"/>
        <w:ind w:left="357" w:hanging="357"/>
        <w:rPr>
          <w:rFonts w:eastAsia="Arial" w:cs="Arial"/>
        </w:rPr>
      </w:pPr>
    </w:p>
    <w:p w14:paraId="78AA705A" w14:textId="7BABB9C5" w:rsidR="365021D1" w:rsidRDefault="365021D1" w:rsidP="695BD78B">
      <w:pPr>
        <w:spacing w:after="160" w:line="276" w:lineRule="auto"/>
        <w:ind w:left="357" w:hanging="357"/>
        <w:rPr>
          <w:rFonts w:eastAsia="Arial" w:cs="Arial"/>
        </w:rPr>
      </w:pPr>
      <w:r w:rsidRPr="695BD78B">
        <w:rPr>
          <w:rStyle w:val="Style6"/>
          <w:rFonts w:eastAsia="Arial" w:cs="Arial"/>
        </w:rPr>
        <w:t>Summary</w:t>
      </w:r>
    </w:p>
    <w:p w14:paraId="67F6714E" w14:textId="77777777" w:rsidR="365021D1" w:rsidRDefault="365021D1" w:rsidP="695BD78B">
      <w:pPr>
        <w:rPr>
          <w:rFonts w:eastAsia="Calibri" w:cs="Arial"/>
        </w:rPr>
      </w:pPr>
      <w:r>
        <w:t>This paper seeks the Board views on how the LGA takes forward its lobbying work on the climate change agenda, including on how to:</w:t>
      </w:r>
    </w:p>
    <w:p w14:paraId="66735350" w14:textId="77777777" w:rsidR="695BD78B" w:rsidRDefault="695BD78B" w:rsidP="695BD78B">
      <w:pPr>
        <w:pStyle w:val="ListParagraph"/>
      </w:pPr>
    </w:p>
    <w:p w14:paraId="34484016" w14:textId="654FB841" w:rsidR="365021D1" w:rsidRDefault="365021D1" w:rsidP="695BD78B">
      <w:pPr>
        <w:pStyle w:val="ListParagraph"/>
        <w:numPr>
          <w:ilvl w:val="0"/>
          <w:numId w:val="1"/>
        </w:numPr>
        <w:rPr>
          <w:rFonts w:asciiTheme="minorHAnsi" w:eastAsiaTheme="minorEastAsia" w:hAnsiTheme="minorHAnsi"/>
          <w:b/>
          <w:bCs/>
        </w:rPr>
      </w:pPr>
      <w:r w:rsidRPr="695BD78B">
        <w:rPr>
          <w:b/>
          <w:bCs/>
        </w:rPr>
        <w:t>deepen a collaborative strategy and delivery partnership</w:t>
      </w:r>
      <w:r>
        <w:t xml:space="preserve"> across local and central government departments, including through the Local Net Zero Forum</w:t>
      </w:r>
    </w:p>
    <w:p w14:paraId="3DA4320F" w14:textId="4BB000AA" w:rsidR="365021D1" w:rsidRDefault="365021D1" w:rsidP="17621ED5">
      <w:pPr>
        <w:pStyle w:val="ListParagraph"/>
        <w:numPr>
          <w:ilvl w:val="0"/>
          <w:numId w:val="1"/>
        </w:numPr>
        <w:rPr>
          <w:b/>
          <w:bCs/>
        </w:rPr>
      </w:pPr>
      <w:r w:rsidRPr="17621ED5">
        <w:rPr>
          <w:b/>
          <w:bCs/>
        </w:rPr>
        <w:t xml:space="preserve">focus on </w:t>
      </w:r>
      <w:r w:rsidRPr="17621ED5">
        <w:rPr>
          <w:b/>
          <w:bCs/>
          <w:i/>
          <w:iCs/>
        </w:rPr>
        <w:t>delivering</w:t>
      </w:r>
      <w:r w:rsidRPr="17621ED5">
        <w:rPr>
          <w:b/>
          <w:bCs/>
        </w:rPr>
        <w:t xml:space="preserve"> the Net Zero Strategy</w:t>
      </w:r>
      <w:r>
        <w:t xml:space="preserve">, </w:t>
      </w:r>
      <w:r w:rsidR="38381301">
        <w:t>reflecting on our</w:t>
      </w:r>
      <w:r>
        <w:t xml:space="preserve"> lobbying programme across the key sectors such as buildings, transport, power and nature, and cross-sector themes such as community engagement, skills and finance</w:t>
      </w:r>
    </w:p>
    <w:p w14:paraId="5E0DB766" w14:textId="18C25DA0" w:rsidR="365021D1" w:rsidRDefault="365021D1" w:rsidP="695BD78B">
      <w:pPr>
        <w:pStyle w:val="ListParagraph"/>
        <w:numPr>
          <w:ilvl w:val="0"/>
          <w:numId w:val="1"/>
        </w:numPr>
        <w:rPr>
          <w:b/>
          <w:bCs/>
        </w:rPr>
      </w:pPr>
      <w:r w:rsidRPr="695BD78B">
        <w:rPr>
          <w:b/>
          <w:bCs/>
        </w:rPr>
        <w:t>link to the LGA’s sector-led improvement programme</w:t>
      </w:r>
      <w:r>
        <w:t xml:space="preserve"> for building capacity and capability</w:t>
      </w:r>
    </w:p>
    <w:p w14:paraId="0AE1874E" w14:textId="16457C23" w:rsidR="695BD78B" w:rsidRDefault="695BD78B" w:rsidP="695BD78B">
      <w:pPr>
        <w:pStyle w:val="Title3"/>
        <w:spacing w:line="276" w:lineRule="auto"/>
        <w:rPr>
          <w:rFonts w:eastAsia="Calibri"/>
        </w:rPr>
      </w:pPr>
    </w:p>
    <w:p w14:paraId="12D7293A" w14:textId="0305CAFD" w:rsidR="365021D1" w:rsidRDefault="365021D1" w:rsidP="695BD78B">
      <w:pPr>
        <w:pStyle w:val="Title3"/>
        <w:spacing w:line="276" w:lineRule="auto"/>
        <w:rPr>
          <w:rFonts w:ascii="MS Gothic" w:eastAsia="MS Gothic" w:hAnsi="MS Gothic" w:cs="MS Gothic"/>
          <w:b/>
          <w:bCs/>
          <w:i w:val="0"/>
          <w:iCs w:val="0"/>
        </w:rPr>
      </w:pPr>
      <w:r w:rsidRPr="695BD78B">
        <w:rPr>
          <w:rFonts w:eastAsia="Arial" w:cs="Arial"/>
          <w:b/>
          <w:bCs/>
          <w:i w:val="0"/>
          <w:iCs w:val="0"/>
        </w:rPr>
        <w:t xml:space="preserve">Is this report confidential? Yes </w:t>
      </w:r>
      <w:r w:rsidRPr="695BD78B">
        <w:rPr>
          <w:rFonts w:ascii="MS Gothic" w:eastAsia="MS Gothic" w:hAnsi="MS Gothic" w:cs="MS Gothic"/>
          <w:b/>
          <w:bCs/>
          <w:i w:val="0"/>
          <w:iCs w:val="0"/>
        </w:rPr>
        <w:t>☐</w:t>
      </w:r>
      <w:r w:rsidRPr="695BD78B">
        <w:rPr>
          <w:rFonts w:eastAsia="Arial" w:cs="Arial"/>
        </w:rPr>
        <w:t xml:space="preserve"> </w:t>
      </w:r>
      <w:r w:rsidRPr="695BD78B">
        <w:rPr>
          <w:rFonts w:eastAsia="Arial" w:cs="Arial"/>
          <w:b/>
          <w:bCs/>
          <w:i w:val="0"/>
          <w:iCs w:val="0"/>
        </w:rPr>
        <w:t xml:space="preserve">No </w:t>
      </w:r>
      <w:r w:rsidRPr="695BD78B">
        <w:rPr>
          <w:rFonts w:ascii="MS Gothic" w:eastAsia="MS Gothic" w:hAnsi="MS Gothic" w:cs="MS Gothic"/>
          <w:b/>
          <w:bCs/>
          <w:i w:val="0"/>
          <w:iCs w:val="0"/>
        </w:rPr>
        <w:t>☒</w:t>
      </w:r>
    </w:p>
    <w:p w14:paraId="1048F43A" w14:textId="77777777" w:rsidR="004A3577" w:rsidRDefault="004A3577" w:rsidP="695BD78B">
      <w:pPr>
        <w:pStyle w:val="Title3"/>
        <w:spacing w:line="276" w:lineRule="auto"/>
        <w:rPr>
          <w:rFonts w:eastAsia="Arial" w:cs="Arial"/>
        </w:rPr>
      </w:pPr>
    </w:p>
    <w:tbl>
      <w:tblPr>
        <w:tblStyle w:val="TableGrid"/>
        <w:tblW w:w="0" w:type="auto"/>
        <w:tblInd w:w="-3" w:type="dxa"/>
        <w:tblLayout w:type="fixed"/>
        <w:tblLook w:val="06A0" w:firstRow="1" w:lastRow="0" w:firstColumn="1" w:lastColumn="0" w:noHBand="1" w:noVBand="1"/>
      </w:tblPr>
      <w:tblGrid>
        <w:gridCol w:w="9015"/>
      </w:tblGrid>
      <w:tr w:rsidR="695BD78B" w14:paraId="5C9F9789" w14:textId="77777777" w:rsidTr="695BD78B">
        <w:tc>
          <w:tcPr>
            <w:tcW w:w="9015" w:type="dxa"/>
          </w:tcPr>
          <w:p w14:paraId="2E41D0F5" w14:textId="77777777" w:rsidR="00670B2C" w:rsidRDefault="00670B2C" w:rsidP="695BD78B">
            <w:pPr>
              <w:rPr>
                <w:rFonts w:eastAsia="Calibri" w:cs="Arial"/>
                <w:b/>
                <w:bCs/>
              </w:rPr>
            </w:pPr>
          </w:p>
          <w:p w14:paraId="1181108B" w14:textId="79BBA1F9" w:rsidR="0D09FA8B" w:rsidRDefault="0D09FA8B" w:rsidP="695BD78B">
            <w:pPr>
              <w:rPr>
                <w:rFonts w:eastAsia="Calibri" w:cs="Arial"/>
                <w:b/>
                <w:bCs/>
              </w:rPr>
            </w:pPr>
            <w:r w:rsidRPr="695BD78B">
              <w:rPr>
                <w:rFonts w:eastAsia="Calibri" w:cs="Arial"/>
                <w:b/>
                <w:bCs/>
              </w:rPr>
              <w:t>Recommendation</w:t>
            </w:r>
          </w:p>
          <w:p w14:paraId="6FADB181" w14:textId="35CD3B4A" w:rsidR="695BD78B" w:rsidRDefault="695BD78B" w:rsidP="695BD78B">
            <w:pPr>
              <w:rPr>
                <w:rFonts w:eastAsia="Calibri" w:cs="Arial"/>
              </w:rPr>
            </w:pPr>
          </w:p>
          <w:p w14:paraId="74035CDC" w14:textId="76D43F60" w:rsidR="0D09FA8B" w:rsidRDefault="0D09FA8B" w:rsidP="695BD78B">
            <w:pPr>
              <w:rPr>
                <w:rFonts w:eastAsia="Calibri" w:cs="Arial"/>
              </w:rPr>
            </w:pPr>
            <w:r w:rsidRPr="695BD78B">
              <w:rPr>
                <w:rFonts w:eastAsia="Calibri" w:cs="Arial"/>
              </w:rPr>
              <w:t>The Board to discuss the outcomes of COP26 and the Net Zero Strategy and to offer direction on the next steps for LGA policy, lobbying and improvement focus.</w:t>
            </w:r>
          </w:p>
          <w:p w14:paraId="5753C2C3" w14:textId="41BF441A" w:rsidR="695BD78B" w:rsidRDefault="695BD78B" w:rsidP="695BD78B">
            <w:pPr>
              <w:rPr>
                <w:rFonts w:eastAsia="Calibri" w:cs="Arial"/>
              </w:rPr>
            </w:pPr>
          </w:p>
          <w:p w14:paraId="77556106" w14:textId="136145FA" w:rsidR="09CF92CC" w:rsidRDefault="09CF92CC" w:rsidP="695BD78B">
            <w:pPr>
              <w:rPr>
                <w:rFonts w:eastAsia="Calibri" w:cs="Arial"/>
                <w:b/>
                <w:bCs/>
              </w:rPr>
            </w:pPr>
            <w:r w:rsidRPr="695BD78B">
              <w:rPr>
                <w:rFonts w:eastAsia="Calibri" w:cs="Arial"/>
                <w:b/>
                <w:bCs/>
              </w:rPr>
              <w:t>Action</w:t>
            </w:r>
          </w:p>
          <w:p w14:paraId="4219B19C" w14:textId="76A07838" w:rsidR="695BD78B" w:rsidRDefault="695BD78B" w:rsidP="695BD78B">
            <w:pPr>
              <w:rPr>
                <w:rFonts w:eastAsia="Calibri" w:cs="Arial"/>
              </w:rPr>
            </w:pPr>
          </w:p>
          <w:p w14:paraId="2C611EDE" w14:textId="511AE6DF" w:rsidR="09CF92CC" w:rsidRDefault="09CF92CC" w:rsidP="695BD78B">
            <w:pPr>
              <w:rPr>
                <w:rFonts w:eastAsia="Calibri" w:cs="Arial"/>
              </w:rPr>
            </w:pPr>
            <w:r w:rsidRPr="695BD78B">
              <w:rPr>
                <w:rFonts w:eastAsia="Calibri" w:cs="Arial"/>
              </w:rPr>
              <w:t>Officers to take forward actions arising from discussion.</w:t>
            </w:r>
          </w:p>
          <w:p w14:paraId="5346349D" w14:textId="7560DE8F" w:rsidR="695BD78B" w:rsidRDefault="695BD78B" w:rsidP="695BD78B">
            <w:pPr>
              <w:rPr>
                <w:rFonts w:eastAsia="Calibri" w:cs="Arial"/>
              </w:rPr>
            </w:pPr>
          </w:p>
        </w:tc>
      </w:tr>
    </w:tbl>
    <w:p w14:paraId="185883F3" w14:textId="093A7E58" w:rsidR="695BD78B" w:rsidRDefault="695BD78B" w:rsidP="695BD78B">
      <w:pPr>
        <w:spacing w:after="160" w:line="276" w:lineRule="auto"/>
        <w:ind w:hanging="357"/>
        <w:rPr>
          <w:rFonts w:eastAsia="Arial" w:cs="Arial"/>
          <w:i/>
          <w:iCs/>
        </w:rPr>
      </w:pPr>
    </w:p>
    <w:p w14:paraId="180223B8" w14:textId="0771FA9D" w:rsidR="695BD78B" w:rsidRDefault="695BD78B" w:rsidP="695BD78B">
      <w:pPr>
        <w:spacing w:after="160" w:line="276" w:lineRule="auto"/>
        <w:ind w:hanging="357"/>
        <w:rPr>
          <w:rFonts w:eastAsia="Arial" w:cs="Arial"/>
          <w:i/>
          <w:iCs/>
        </w:rPr>
      </w:pPr>
    </w:p>
    <w:p w14:paraId="6E405AD4" w14:textId="2B30BCF5" w:rsidR="365021D1" w:rsidRDefault="365021D1" w:rsidP="17621ED5">
      <w:pPr>
        <w:spacing w:after="160" w:line="276" w:lineRule="auto"/>
        <w:rPr>
          <w:rFonts w:eastAsia="Arial" w:cs="Arial"/>
        </w:rPr>
      </w:pPr>
      <w:r w:rsidRPr="17621ED5">
        <w:rPr>
          <w:rStyle w:val="Style2"/>
          <w:rFonts w:eastAsia="Arial" w:cs="Arial"/>
        </w:rPr>
        <w:t>Contact officer:</w:t>
      </w:r>
      <w:r w:rsidR="3783F138" w:rsidRPr="17621ED5">
        <w:rPr>
          <w:rStyle w:val="Style2"/>
          <w:rFonts w:eastAsia="Arial" w:cs="Arial"/>
        </w:rPr>
        <w:t xml:space="preserve"> </w:t>
      </w:r>
      <w:r w:rsidRPr="17621ED5">
        <w:rPr>
          <w:rFonts w:eastAsia="Arial" w:cs="Arial"/>
        </w:rPr>
        <w:t>Nick Porter/</w:t>
      </w:r>
      <w:r w:rsidR="25DEDAB6" w:rsidRPr="17621ED5">
        <w:rPr>
          <w:rFonts w:eastAsia="Arial" w:cs="Arial"/>
        </w:rPr>
        <w:t>Andrew Richmond</w:t>
      </w:r>
    </w:p>
    <w:p w14:paraId="05BC3114" w14:textId="4708F764" w:rsidR="365021D1" w:rsidRDefault="365021D1" w:rsidP="695BD78B">
      <w:pPr>
        <w:spacing w:after="160" w:line="276" w:lineRule="auto"/>
        <w:ind w:left="357" w:hanging="357"/>
        <w:rPr>
          <w:rFonts w:eastAsia="Arial" w:cs="Arial"/>
        </w:rPr>
      </w:pPr>
      <w:r w:rsidRPr="17621ED5">
        <w:rPr>
          <w:rStyle w:val="Style2"/>
          <w:rFonts w:eastAsia="Arial" w:cs="Arial"/>
        </w:rPr>
        <w:t>Position:</w:t>
      </w:r>
      <w:r w:rsidR="260C45A7" w:rsidRPr="17621ED5">
        <w:rPr>
          <w:rStyle w:val="Style2"/>
          <w:rFonts w:eastAsia="Arial" w:cs="Arial"/>
        </w:rPr>
        <w:t xml:space="preserve"> </w:t>
      </w:r>
      <w:r w:rsidRPr="17621ED5">
        <w:rPr>
          <w:rFonts w:eastAsia="Arial" w:cs="Arial"/>
        </w:rPr>
        <w:t xml:space="preserve">Senior Adviser/Adviser </w:t>
      </w:r>
    </w:p>
    <w:p w14:paraId="72535FC5" w14:textId="74B1D82E" w:rsidR="365021D1" w:rsidRDefault="00660522" w:rsidP="17621ED5">
      <w:pPr>
        <w:spacing w:after="160" w:line="276" w:lineRule="auto"/>
        <w:rPr>
          <w:rStyle w:val="Hyperlink"/>
          <w:rFonts w:eastAsia="Arial" w:cs="Arial"/>
        </w:rPr>
      </w:pPr>
      <w:hyperlink r:id="rId10">
        <w:r w:rsidR="365021D1" w:rsidRPr="17621ED5">
          <w:rPr>
            <w:rStyle w:val="Hyperlink"/>
            <w:rFonts w:eastAsia="Arial" w:cs="Arial"/>
            <w:b/>
            <w:bCs/>
          </w:rPr>
          <w:t>Email:</w:t>
        </w:r>
        <w:r w:rsidR="3B52A770" w:rsidRPr="17621ED5">
          <w:rPr>
            <w:rStyle w:val="Hyperlink"/>
            <w:rFonts w:eastAsia="Arial" w:cs="Arial"/>
            <w:b/>
            <w:bCs/>
          </w:rPr>
          <w:t xml:space="preserve"> </w:t>
        </w:r>
        <w:r w:rsidR="3B52A770" w:rsidRPr="17621ED5">
          <w:rPr>
            <w:rStyle w:val="Hyperlink"/>
            <w:rFonts w:eastAsia="Arial" w:cs="Arial"/>
          </w:rPr>
          <w:t>nick.porter</w:t>
        </w:r>
        <w:r w:rsidR="365021D1" w:rsidRPr="17621ED5">
          <w:rPr>
            <w:rStyle w:val="Hyperlink"/>
            <w:rFonts w:eastAsia="Arial" w:cs="Arial"/>
          </w:rPr>
          <w:t>@local.gov.uk</w:t>
        </w:r>
      </w:hyperlink>
    </w:p>
    <w:p w14:paraId="65BF4443" w14:textId="75AA9960" w:rsidR="004A3577" w:rsidRDefault="004A3577" w:rsidP="17621ED5">
      <w:pPr>
        <w:spacing w:after="160" w:line="276" w:lineRule="auto"/>
        <w:rPr>
          <w:rStyle w:val="Hyperlink"/>
          <w:rFonts w:eastAsia="Arial" w:cs="Arial"/>
        </w:rPr>
      </w:pPr>
    </w:p>
    <w:p w14:paraId="072F5817" w14:textId="1821C9BB" w:rsidR="004A3577" w:rsidRDefault="004A3577" w:rsidP="004A3577">
      <w:pPr>
        <w:pStyle w:val="Title1"/>
        <w:spacing w:line="276" w:lineRule="auto"/>
        <w:rPr>
          <w:rFonts w:eastAsia="Arial" w:cs="Arial"/>
        </w:rPr>
      </w:pPr>
      <w:r w:rsidRPr="17621ED5">
        <w:rPr>
          <w:rFonts w:eastAsia="Arial" w:cs="Arial"/>
        </w:rPr>
        <w:lastRenderedPageBreak/>
        <w:t>COP26 and the Net Zero Strategy – next steps</w:t>
      </w:r>
      <w:r>
        <w:rPr>
          <w:rFonts w:eastAsia="Arial" w:cs="Arial"/>
        </w:rPr>
        <w:br/>
      </w:r>
    </w:p>
    <w:p w14:paraId="7BEC1FE8" w14:textId="1440D30B" w:rsidR="00B200FD" w:rsidRDefault="4CE7A90D" w:rsidP="00D8507E">
      <w:pPr>
        <w:pStyle w:val="ListParagraph"/>
        <w:numPr>
          <w:ilvl w:val="0"/>
          <w:numId w:val="2"/>
        </w:numPr>
      </w:pPr>
      <w:r>
        <w:t>This paper seeks the Board views on how the LGA takes forward its lobbying work on the climate change agenda, including on how to:</w:t>
      </w:r>
    </w:p>
    <w:p w14:paraId="4995D088" w14:textId="77777777" w:rsidR="00670B2C" w:rsidRDefault="4CE7A90D" w:rsidP="00670B2C">
      <w:pPr>
        <w:pStyle w:val="ListParagraph"/>
        <w:numPr>
          <w:ilvl w:val="1"/>
          <w:numId w:val="5"/>
        </w:numPr>
        <w:spacing w:before="120"/>
        <w:ind w:left="1077" w:hanging="651"/>
      </w:pPr>
      <w:r w:rsidRPr="00965ADE">
        <w:rPr>
          <w:b/>
          <w:bCs/>
        </w:rPr>
        <w:t>deepen a collaborative strategy and delivery partnership</w:t>
      </w:r>
      <w:r>
        <w:t xml:space="preserve"> across local and central government departments</w:t>
      </w:r>
      <w:r w:rsidR="63B58171">
        <w:t>, including</w:t>
      </w:r>
      <w:r>
        <w:t xml:space="preserve"> through the Local Net Zero Forum</w:t>
      </w:r>
      <w:r w:rsidR="00965ADE">
        <w:t>.</w:t>
      </w:r>
    </w:p>
    <w:p w14:paraId="65EFCD01" w14:textId="77777777" w:rsidR="00670B2C" w:rsidRDefault="4CE7A90D" w:rsidP="00670B2C">
      <w:pPr>
        <w:pStyle w:val="ListParagraph"/>
        <w:numPr>
          <w:ilvl w:val="1"/>
          <w:numId w:val="5"/>
        </w:numPr>
        <w:spacing w:before="120"/>
        <w:ind w:left="1077" w:hanging="651"/>
      </w:pPr>
      <w:r w:rsidRPr="00670B2C">
        <w:rPr>
          <w:b/>
          <w:bCs/>
        </w:rPr>
        <w:t xml:space="preserve">focus on </w:t>
      </w:r>
      <w:r w:rsidRPr="00670B2C">
        <w:rPr>
          <w:b/>
          <w:bCs/>
          <w:i/>
          <w:iCs/>
        </w:rPr>
        <w:t>delivering</w:t>
      </w:r>
      <w:r w:rsidRPr="00670B2C">
        <w:rPr>
          <w:b/>
          <w:bCs/>
        </w:rPr>
        <w:t xml:space="preserve"> the Net Zero Strategy</w:t>
      </w:r>
      <w:r>
        <w:t xml:space="preserve">, </w:t>
      </w:r>
      <w:r w:rsidR="7B0BA7E6">
        <w:t>reflecting on our</w:t>
      </w:r>
      <w:r>
        <w:t xml:space="preserve"> lobbying programme across the key sectors such as buildings, transport, power and nature, and cross-sector themes such as community engagement, skills and finance</w:t>
      </w:r>
      <w:r w:rsidR="00965ADE">
        <w:t>.</w:t>
      </w:r>
    </w:p>
    <w:p w14:paraId="49E61BD7" w14:textId="12230E7F" w:rsidR="00B200FD" w:rsidRDefault="4CE7A90D" w:rsidP="00670B2C">
      <w:pPr>
        <w:pStyle w:val="ListParagraph"/>
        <w:numPr>
          <w:ilvl w:val="1"/>
          <w:numId w:val="5"/>
        </w:numPr>
        <w:spacing w:before="120"/>
        <w:ind w:left="1077" w:hanging="651"/>
      </w:pPr>
      <w:r w:rsidRPr="00670B2C">
        <w:rPr>
          <w:b/>
          <w:bCs/>
        </w:rPr>
        <w:t>link to the LGA’s sector-led improvement programme</w:t>
      </w:r>
      <w:r>
        <w:t xml:space="preserve"> for building capacity and capability</w:t>
      </w:r>
      <w:r w:rsidR="00965ADE">
        <w:t>.</w:t>
      </w:r>
      <w:r>
        <w:t xml:space="preserve"> </w:t>
      </w:r>
    </w:p>
    <w:p w14:paraId="1BC6E84A" w14:textId="77777777" w:rsidR="00B200FD" w:rsidRDefault="00B200FD" w:rsidP="00B200FD">
      <w:pPr>
        <w:pStyle w:val="ListParagraph"/>
        <w:ind w:left="1440"/>
      </w:pPr>
    </w:p>
    <w:p w14:paraId="3E905E2B" w14:textId="2ADCE1D7" w:rsidR="00B200FD" w:rsidRDefault="4CE7A90D" w:rsidP="00D8507E">
      <w:pPr>
        <w:pStyle w:val="ListParagraph"/>
        <w:numPr>
          <w:ilvl w:val="0"/>
          <w:numId w:val="2"/>
        </w:numPr>
      </w:pPr>
      <w:r>
        <w:t>Reflection. Since the last Board:</w:t>
      </w:r>
    </w:p>
    <w:p w14:paraId="228E6ED1" w14:textId="77777777" w:rsidR="00670B2C" w:rsidRDefault="4CE7A90D" w:rsidP="00670B2C">
      <w:pPr>
        <w:pStyle w:val="ListParagraph"/>
        <w:numPr>
          <w:ilvl w:val="1"/>
          <w:numId w:val="6"/>
        </w:numPr>
        <w:spacing w:before="120"/>
        <w:ind w:left="1077" w:hanging="651"/>
      </w:pPr>
      <w:r>
        <w:t>COP26, the LGA</w:t>
      </w:r>
      <w:r w:rsidR="44F11BAD">
        <w:t xml:space="preserve"> launched a range of communications, research and events around the event, including sending a delegation to Glasgow. </w:t>
      </w:r>
      <w:r w:rsidR="2C3E6017">
        <w:t xml:space="preserve">The event has not concluded at the time of drafting </w:t>
      </w:r>
      <w:r w:rsidR="0D77A524">
        <w:t xml:space="preserve">this paper, </w:t>
      </w:r>
      <w:r w:rsidR="2C3E6017">
        <w:t>we will provide an additional paper ahead of the Board</w:t>
      </w:r>
      <w:r w:rsidR="221A287A">
        <w:t xml:space="preserve"> on the outcomes of COP26 if necessary</w:t>
      </w:r>
      <w:r w:rsidR="7E5B3D80">
        <w:t>.</w:t>
      </w:r>
    </w:p>
    <w:p w14:paraId="3EAC110A" w14:textId="77777777" w:rsidR="00670B2C" w:rsidRDefault="4CE7A90D" w:rsidP="00670B2C">
      <w:pPr>
        <w:pStyle w:val="ListParagraph"/>
        <w:numPr>
          <w:ilvl w:val="1"/>
          <w:numId w:val="6"/>
        </w:numPr>
        <w:spacing w:before="120"/>
        <w:ind w:left="1077" w:hanging="651"/>
      </w:pPr>
      <w:r>
        <w:t>Net Zero Strategy set out the Government’s plan for achieving Net Zero, including positive references to the importance of local government and in developing joint working</w:t>
      </w:r>
      <w:r w:rsidR="68AAE216">
        <w:t xml:space="preserve">. </w:t>
      </w:r>
      <w:r w:rsidR="100A707B">
        <w:t>This was accompanied by other</w:t>
      </w:r>
      <w:r w:rsidR="68AAE216">
        <w:t xml:space="preserve"> </w:t>
      </w:r>
      <w:r w:rsidR="0B4A5C60">
        <w:t>policy announcements</w:t>
      </w:r>
      <w:r w:rsidR="68AAE216">
        <w:t>, including the Heat and Buildings Strategy and HMT Net Zero Review.</w:t>
      </w:r>
    </w:p>
    <w:p w14:paraId="57096015" w14:textId="51E0F88D" w:rsidR="7B38B42A" w:rsidRDefault="7B38B42A" w:rsidP="00670B2C">
      <w:pPr>
        <w:pStyle w:val="ListParagraph"/>
        <w:numPr>
          <w:ilvl w:val="1"/>
          <w:numId w:val="6"/>
        </w:numPr>
        <w:spacing w:before="120"/>
        <w:ind w:left="1077" w:hanging="651"/>
      </w:pPr>
      <w:r w:rsidRPr="00670B2C">
        <w:rPr>
          <w:rFonts w:eastAsia="Calibri" w:cs="Arial"/>
        </w:rPr>
        <w:t>Continued LGA work, as previously directed by the Board, on priority areas of housing, transport, and the relationship between local and central government wit</w:t>
      </w:r>
      <w:r w:rsidR="33E7EA7C" w:rsidRPr="00670B2C">
        <w:rPr>
          <w:rFonts w:eastAsia="Calibri" w:cs="Arial"/>
        </w:rPr>
        <w:t>h</w:t>
      </w:r>
      <w:r w:rsidRPr="00670B2C">
        <w:rPr>
          <w:rFonts w:eastAsia="Calibri" w:cs="Arial"/>
        </w:rPr>
        <w:t>in an overall fra</w:t>
      </w:r>
      <w:r w:rsidR="63203C44" w:rsidRPr="00670B2C">
        <w:rPr>
          <w:rFonts w:eastAsia="Calibri" w:cs="Arial"/>
        </w:rPr>
        <w:t>mework for delive</w:t>
      </w:r>
      <w:r w:rsidR="6F132079" w:rsidRPr="00670B2C">
        <w:rPr>
          <w:rFonts w:eastAsia="Calibri" w:cs="Arial"/>
        </w:rPr>
        <w:t>ri</w:t>
      </w:r>
      <w:r w:rsidR="63203C44" w:rsidRPr="00670B2C">
        <w:rPr>
          <w:rFonts w:eastAsia="Calibri" w:cs="Arial"/>
        </w:rPr>
        <w:t>ng climate change adaptation and mitigation</w:t>
      </w:r>
      <w:r w:rsidR="462F29E4" w:rsidRPr="00670B2C">
        <w:rPr>
          <w:rFonts w:eastAsia="Calibri" w:cs="Arial"/>
        </w:rPr>
        <w:t>.</w:t>
      </w:r>
    </w:p>
    <w:p w14:paraId="2F4D89E0" w14:textId="77777777" w:rsidR="00B200FD" w:rsidRDefault="00B200FD" w:rsidP="00B200FD">
      <w:pPr>
        <w:pStyle w:val="ListParagraph"/>
        <w:ind w:left="1440"/>
      </w:pPr>
    </w:p>
    <w:p w14:paraId="4CAF2F04" w14:textId="77777777" w:rsidR="00B200FD" w:rsidRPr="00D331BF" w:rsidRDefault="4CE7A90D" w:rsidP="00D331BF">
      <w:pPr>
        <w:rPr>
          <w:b/>
          <w:bCs/>
        </w:rPr>
      </w:pPr>
      <w:r w:rsidRPr="00D331BF">
        <w:rPr>
          <w:b/>
          <w:bCs/>
        </w:rPr>
        <w:t xml:space="preserve">Local central relationship </w:t>
      </w:r>
    </w:p>
    <w:p w14:paraId="77AB81B8" w14:textId="77777777" w:rsidR="00B200FD" w:rsidRDefault="00B200FD" w:rsidP="00B200FD">
      <w:pPr>
        <w:pStyle w:val="ListParagraph"/>
        <w:rPr>
          <w:b/>
          <w:bCs/>
        </w:rPr>
      </w:pPr>
    </w:p>
    <w:p w14:paraId="099C64CF" w14:textId="14DA485E" w:rsidR="00B200FD" w:rsidRDefault="4CE7A90D" w:rsidP="00B200FD">
      <w:pPr>
        <w:pStyle w:val="ListParagraph"/>
        <w:numPr>
          <w:ilvl w:val="0"/>
          <w:numId w:val="2"/>
        </w:numPr>
      </w:pPr>
      <w:r>
        <w:t>The Net Zero Strategy recognises that 30</w:t>
      </w:r>
      <w:r w:rsidR="3414F6C0">
        <w:t xml:space="preserve"> percent</w:t>
      </w:r>
      <w:r>
        <w:t xml:space="preserve"> of the emissions reductions that will be needed depend on actions that involve local authorities. It represents a positive first step in acknowledging the role local leaders can play in engaging their communities and delivering change that works within their local contexts, and in identifying steps to unlock effective local delivery. </w:t>
      </w:r>
    </w:p>
    <w:p w14:paraId="4FD42181" w14:textId="77777777" w:rsidR="00B200FD" w:rsidRDefault="00B200FD" w:rsidP="00B200FD">
      <w:pPr>
        <w:pStyle w:val="ListParagraph"/>
      </w:pPr>
    </w:p>
    <w:p w14:paraId="18163692" w14:textId="77777777" w:rsidR="00B200FD" w:rsidRDefault="4CE7A90D" w:rsidP="00B200FD">
      <w:pPr>
        <w:pStyle w:val="ListParagraph"/>
        <w:numPr>
          <w:ilvl w:val="0"/>
          <w:numId w:val="2"/>
        </w:numPr>
      </w:pPr>
      <w:r>
        <w:t>The Strategy sets out three key areas in which Government needs to act:</w:t>
      </w:r>
    </w:p>
    <w:p w14:paraId="27383750" w14:textId="77777777" w:rsidR="00B200FD" w:rsidRDefault="00B200FD" w:rsidP="00B200FD">
      <w:pPr>
        <w:pStyle w:val="ListParagraph"/>
      </w:pPr>
    </w:p>
    <w:p w14:paraId="2BA78BED" w14:textId="77777777" w:rsidR="00F10990" w:rsidRDefault="4CE7A90D" w:rsidP="00F10990">
      <w:pPr>
        <w:pStyle w:val="ListParagraph"/>
        <w:numPr>
          <w:ilvl w:val="1"/>
          <w:numId w:val="7"/>
        </w:numPr>
        <w:spacing w:before="120"/>
        <w:ind w:left="1077" w:hanging="651"/>
      </w:pPr>
      <w:r>
        <w:t>the need to set clearer expectations for how the partnership between local and central Government should work and how action at all levels should fit together.</w:t>
      </w:r>
    </w:p>
    <w:p w14:paraId="1C5DE10A" w14:textId="77777777" w:rsidR="00F10990" w:rsidRDefault="4CE7A90D" w:rsidP="00F10990">
      <w:pPr>
        <w:pStyle w:val="ListParagraph"/>
        <w:numPr>
          <w:ilvl w:val="1"/>
          <w:numId w:val="7"/>
        </w:numPr>
        <w:spacing w:before="120"/>
        <w:ind w:left="1077" w:hanging="651"/>
      </w:pPr>
      <w:r>
        <w:t>Providing adequate resourcing to enable local places to deliver strong contributions to Net Zero and broader priorities.</w:t>
      </w:r>
    </w:p>
    <w:p w14:paraId="279D6528" w14:textId="34C24856" w:rsidR="00B200FD" w:rsidRDefault="4CE7A90D" w:rsidP="00F10990">
      <w:pPr>
        <w:pStyle w:val="ListParagraph"/>
        <w:numPr>
          <w:ilvl w:val="1"/>
          <w:numId w:val="7"/>
        </w:numPr>
        <w:spacing w:before="120"/>
        <w:ind w:left="1077" w:hanging="651"/>
      </w:pPr>
      <w:r>
        <w:t>The importance of building capacity and capability at the local level.</w:t>
      </w:r>
    </w:p>
    <w:p w14:paraId="5C3E8014" w14:textId="77777777" w:rsidR="00B200FD" w:rsidRDefault="00B200FD" w:rsidP="00B200FD">
      <w:pPr>
        <w:pStyle w:val="ListParagraph"/>
        <w:ind w:left="1440"/>
      </w:pPr>
    </w:p>
    <w:p w14:paraId="64C46338" w14:textId="4F4222EF" w:rsidR="00B200FD" w:rsidRDefault="0EA5DC36" w:rsidP="00B200FD">
      <w:pPr>
        <w:pStyle w:val="ListParagraph"/>
        <w:numPr>
          <w:ilvl w:val="0"/>
          <w:numId w:val="2"/>
        </w:numPr>
      </w:pPr>
      <w:r>
        <w:lastRenderedPageBreak/>
        <w:t>Linked to this</w:t>
      </w:r>
      <w:r w:rsidR="4CE7A90D">
        <w:t xml:space="preserve">, BEIS will chair a Local Net Zero Forum, which will bring together senior officials from across Government departments and leaders from local government. The LGA are discussing with BEIS the creation </w:t>
      </w:r>
      <w:r w:rsidR="4099F277">
        <w:t xml:space="preserve">and purpose </w:t>
      </w:r>
      <w:r w:rsidR="4CE7A90D">
        <w:t>of a Local Net Zero Forum. The LGA</w:t>
      </w:r>
      <w:r w:rsidR="0040E552">
        <w:t xml:space="preserve"> is also making the case for</w:t>
      </w:r>
      <w:r w:rsidR="4CE7A90D">
        <w:t xml:space="preserve"> an equivalent political Forum.</w:t>
      </w:r>
    </w:p>
    <w:p w14:paraId="5D1F4105" w14:textId="77777777" w:rsidR="00B200FD" w:rsidRDefault="00B200FD" w:rsidP="00B200FD">
      <w:pPr>
        <w:pStyle w:val="ListParagraph"/>
      </w:pPr>
    </w:p>
    <w:p w14:paraId="130E4951" w14:textId="0304133A" w:rsidR="00B200FD" w:rsidRDefault="4CE7A90D" w:rsidP="00B200FD">
      <w:pPr>
        <w:pStyle w:val="ListParagraph"/>
        <w:numPr>
          <w:ilvl w:val="0"/>
          <w:numId w:val="2"/>
        </w:numPr>
      </w:pPr>
      <w:r>
        <w:t>The Forum’s first task will be to establish clearer delivery roles. Thereafter it will provide a single engagement route into central Government and will allow local voices to play a role in shaping local delivery policy.</w:t>
      </w:r>
    </w:p>
    <w:p w14:paraId="261F5C81" w14:textId="77777777" w:rsidR="00B200FD" w:rsidRDefault="00B200FD" w:rsidP="00B200FD">
      <w:pPr>
        <w:pStyle w:val="ListParagraph"/>
      </w:pPr>
    </w:p>
    <w:p w14:paraId="1C2C7D8F" w14:textId="7DF58479" w:rsidR="00B200FD" w:rsidRDefault="4CE7A90D" w:rsidP="00B200FD">
      <w:pPr>
        <w:pStyle w:val="ListParagraph"/>
        <w:numPr>
          <w:ilvl w:val="0"/>
          <w:numId w:val="2"/>
        </w:numPr>
      </w:pPr>
      <w:r>
        <w:t>The Net Zero Strategy acknowledges the recent assessment by the National Audit Office</w:t>
      </w:r>
      <w:r w:rsidR="0715571F">
        <w:t xml:space="preserve"> </w:t>
      </w:r>
      <w:r>
        <w:t>of the fragmented funding landscape that local authorities currently face. It recognises that longer-term and more coordinated funding streams can stimulate investment and deliver better value-for money and pledges to explore opportunities to consolidate funds to this end.</w:t>
      </w:r>
    </w:p>
    <w:p w14:paraId="71D98F5E" w14:textId="77777777" w:rsidR="00B200FD" w:rsidRDefault="00B200FD" w:rsidP="00B200FD">
      <w:pPr>
        <w:pStyle w:val="ListParagraph"/>
      </w:pPr>
    </w:p>
    <w:p w14:paraId="425E00BC" w14:textId="03A9CE2F" w:rsidR="00B200FD" w:rsidRDefault="4CE7A90D" w:rsidP="76B64403">
      <w:pPr>
        <w:pStyle w:val="ListParagraph"/>
        <w:numPr>
          <w:ilvl w:val="0"/>
          <w:numId w:val="2"/>
        </w:numPr>
      </w:pPr>
      <w:r>
        <w:t>The LGA might agree with the Climate Change Committee that it will be crucial for the Forum to promptly develop an agreed understanding of the role of local government in delivering Net Zero. Furthermore, Government must ensure that critical enabling processes, such as the planning system and appraisal methodologies, are properly aligned to these pathways. Coherent, predictable and long-term funding settlements will help realise effective local delivery that works across communities.</w:t>
      </w:r>
    </w:p>
    <w:p w14:paraId="2B4F023E" w14:textId="77777777" w:rsidR="00B200FD" w:rsidRDefault="00B200FD" w:rsidP="00B200FD">
      <w:pPr>
        <w:pStyle w:val="ListParagraph"/>
        <w:rPr>
          <w:b/>
          <w:bCs/>
        </w:rPr>
      </w:pPr>
    </w:p>
    <w:p w14:paraId="1115C51D" w14:textId="77777777" w:rsidR="00B200FD" w:rsidRPr="002D174F" w:rsidRDefault="4CE7A90D" w:rsidP="002D174F">
      <w:pPr>
        <w:rPr>
          <w:b/>
          <w:bCs/>
        </w:rPr>
      </w:pPr>
      <w:r w:rsidRPr="002D174F">
        <w:rPr>
          <w:b/>
          <w:bCs/>
        </w:rPr>
        <w:t>Delivering the Net Zero Strategy</w:t>
      </w:r>
    </w:p>
    <w:p w14:paraId="0B37B30B" w14:textId="77777777" w:rsidR="00B200FD" w:rsidRDefault="00B200FD" w:rsidP="00B200FD">
      <w:pPr>
        <w:pStyle w:val="ListParagraph"/>
      </w:pPr>
    </w:p>
    <w:p w14:paraId="07146810" w14:textId="65ED7F2E" w:rsidR="00B200FD" w:rsidRDefault="4CE7A90D" w:rsidP="76B64403">
      <w:pPr>
        <w:pStyle w:val="ListParagraph"/>
        <w:numPr>
          <w:ilvl w:val="0"/>
          <w:numId w:val="2"/>
        </w:numPr>
      </w:pPr>
      <w:r>
        <w:t>The UK’s new Net Zero Strategy sets out, for the first time, how the UK Government plans to deliver its emissions targets of Net Zero in 2050 and a 78% reduction from 1990 to 2035</w:t>
      </w:r>
      <w:r w:rsidR="00B200FD" w:rsidRPr="76B64403">
        <w:rPr>
          <w:rStyle w:val="FootnoteReference"/>
        </w:rPr>
        <w:footnoteReference w:id="1"/>
      </w:r>
      <w:r>
        <w:t>.  It is generally accepted that further steps will need to follow quickly to implement the policies and proposals mapped out in the Net Zero Strategy if it is to be a success</w:t>
      </w:r>
      <w:r w:rsidR="00B200FD" w:rsidRPr="76B64403">
        <w:rPr>
          <w:rStyle w:val="FootnoteReference"/>
        </w:rPr>
        <w:footnoteReference w:id="2"/>
      </w:r>
      <w:r>
        <w:t xml:space="preserve">. </w:t>
      </w:r>
    </w:p>
    <w:p w14:paraId="19A8F8E7" w14:textId="3DDB3533" w:rsidR="76B64403" w:rsidRDefault="76B64403" w:rsidP="76B64403">
      <w:pPr>
        <w:rPr>
          <w:rFonts w:eastAsia="Calibri"/>
        </w:rPr>
      </w:pPr>
    </w:p>
    <w:p w14:paraId="26C75642" w14:textId="0B60DCC1" w:rsidR="00B200FD" w:rsidRDefault="4CE7A90D" w:rsidP="76B64403">
      <w:pPr>
        <w:pStyle w:val="ListParagraph"/>
        <w:numPr>
          <w:ilvl w:val="0"/>
          <w:numId w:val="2"/>
        </w:numPr>
      </w:pPr>
      <w:r>
        <w:t>We propose the LGA focus lobbying efforts on moving key ambitions towards delivery</w:t>
      </w:r>
      <w:r w:rsidR="72B738DD">
        <w:t xml:space="preserve">, </w:t>
      </w:r>
      <w:r w:rsidR="53C20997">
        <w:t>continu</w:t>
      </w:r>
      <w:r w:rsidR="72B738DD">
        <w:t>ing</w:t>
      </w:r>
      <w:r w:rsidR="53C20997">
        <w:t xml:space="preserve"> and reflecting on</w:t>
      </w:r>
      <w:r w:rsidR="72B738DD">
        <w:t xml:space="preserve"> </w:t>
      </w:r>
      <w:r w:rsidR="56C12BF8">
        <w:t>our</w:t>
      </w:r>
      <w:r w:rsidR="72B738DD">
        <w:t xml:space="preserve"> policy and lobbying programme to </w:t>
      </w:r>
      <w:r w:rsidR="61DEDF5D">
        <w:t>achieve</w:t>
      </w:r>
      <w:r w:rsidR="72B738DD">
        <w:t xml:space="preserve"> this</w:t>
      </w:r>
      <w:r w:rsidR="25F63001">
        <w:t>, using the opportunity of the Net Zero Strategy and COP26.</w:t>
      </w:r>
    </w:p>
    <w:p w14:paraId="0C84A716" w14:textId="77777777" w:rsidR="00B200FD" w:rsidRDefault="00B200FD" w:rsidP="00B200FD">
      <w:pPr>
        <w:pStyle w:val="ListParagraph"/>
      </w:pPr>
    </w:p>
    <w:p w14:paraId="4A53E357" w14:textId="3AB525E4" w:rsidR="00B200FD" w:rsidRDefault="77268E34" w:rsidP="7C4CCC7E">
      <w:pPr>
        <w:pStyle w:val="ListParagraph"/>
        <w:numPr>
          <w:ilvl w:val="0"/>
          <w:numId w:val="2"/>
        </w:numPr>
      </w:pPr>
      <w:r>
        <w:t xml:space="preserve">As an </w:t>
      </w:r>
      <w:r w:rsidRPr="695BD78B">
        <w:rPr>
          <w:b/>
          <w:bCs/>
        </w:rPr>
        <w:t>example only</w:t>
      </w:r>
      <w:r>
        <w:t>, t</w:t>
      </w:r>
      <w:r w:rsidR="4CE7A90D">
        <w:t>he below table use</w:t>
      </w:r>
      <w:r w:rsidR="3C02F2D1">
        <w:t>s</w:t>
      </w:r>
      <w:r w:rsidR="4CE7A90D">
        <w:t xml:space="preserve"> text from</w:t>
      </w:r>
      <w:r w:rsidR="7A63603C">
        <w:t xml:space="preserve"> the Climate Change Committee’s</w:t>
      </w:r>
      <w:r w:rsidR="4CE7A90D">
        <w:t xml:space="preserve"> independent assessment of the N</w:t>
      </w:r>
      <w:r w:rsidR="5D9BCC76">
        <w:t>et Zero Strategies policies</w:t>
      </w:r>
      <w:r w:rsidR="4CE7A90D">
        <w:t xml:space="preserve"> </w:t>
      </w:r>
      <w:r w:rsidR="023E7A60">
        <w:t>for</w:t>
      </w:r>
      <w:r w:rsidR="4CE7A90D">
        <w:t xml:space="preserve"> </w:t>
      </w:r>
      <w:r w:rsidR="094169DB">
        <w:t>‘</w:t>
      </w:r>
      <w:r w:rsidR="4CE7A90D">
        <w:t>buildings</w:t>
      </w:r>
      <w:r w:rsidR="25529CAD">
        <w:t xml:space="preserve">', </w:t>
      </w:r>
      <w:r w:rsidR="4CE7A90D">
        <w:t>onto which we have added a column proposing</w:t>
      </w:r>
      <w:r w:rsidR="6BD15458">
        <w:t xml:space="preserve"> possible</w:t>
      </w:r>
      <w:r w:rsidR="4CE7A90D">
        <w:t xml:space="preserve"> LGA </w:t>
      </w:r>
      <w:r w:rsidR="61A47DA8">
        <w:t>lobbying</w:t>
      </w:r>
      <w:r w:rsidR="4CE7A90D">
        <w:t xml:space="preserve"> </w:t>
      </w:r>
      <w:r w:rsidR="39C71CB1">
        <w:t>objectives</w:t>
      </w:r>
      <w:r w:rsidR="4CE7A90D">
        <w:t xml:space="preserve">. </w:t>
      </w:r>
    </w:p>
    <w:p w14:paraId="1D66910C" w14:textId="768E4322" w:rsidR="7C4CCC7E" w:rsidRDefault="7C4CCC7E" w:rsidP="7C4CCC7E">
      <w:pPr>
        <w:rPr>
          <w:rFonts w:eastAsia="Calibri"/>
        </w:rPr>
      </w:pPr>
    </w:p>
    <w:p w14:paraId="54C7C760" w14:textId="3ED2B473" w:rsidR="00B200FD" w:rsidRDefault="4CE7A90D" w:rsidP="76B64403">
      <w:pPr>
        <w:pStyle w:val="ListParagraph"/>
        <w:numPr>
          <w:ilvl w:val="0"/>
          <w:numId w:val="2"/>
        </w:numPr>
      </w:pPr>
      <w:r>
        <w:t xml:space="preserve">It is proposed the LGA </w:t>
      </w:r>
      <w:r w:rsidR="28769C54">
        <w:t>continue similar</w:t>
      </w:r>
      <w:r>
        <w:t xml:space="preserve"> analysis across other sectors such as transport, power, and nature, and important cross-cutting issues such as skills, public engagement, and finance.</w:t>
      </w:r>
      <w:r w:rsidR="6A04E483">
        <w:t xml:space="preserve"> </w:t>
      </w:r>
      <w:r w:rsidR="074C344D">
        <w:t>For some policy areas, like transport</w:t>
      </w:r>
      <w:r w:rsidR="43E3E27C">
        <w:t xml:space="preserve"> and skills</w:t>
      </w:r>
      <w:r w:rsidR="074C344D">
        <w:t>, the Net Zero Strategy did not have much new policy but summarised existing work th</w:t>
      </w:r>
      <w:r w:rsidR="532BFF83">
        <w:t>at LGA</w:t>
      </w:r>
      <w:r w:rsidR="074C344D">
        <w:t xml:space="preserve"> are already active on.</w:t>
      </w:r>
    </w:p>
    <w:p w14:paraId="303CBE9C" w14:textId="1DCF7F07" w:rsidR="00B200FD" w:rsidRDefault="00B200FD" w:rsidP="7929812A">
      <w:pPr>
        <w:rPr>
          <w:rFonts w:eastAsia="Calibri"/>
        </w:rPr>
      </w:pPr>
    </w:p>
    <w:p w14:paraId="25E7C52B" w14:textId="3BE5E5F4" w:rsidR="00B200FD" w:rsidRDefault="6A04E483" w:rsidP="695BD78B">
      <w:pPr>
        <w:pStyle w:val="ListParagraph"/>
        <w:numPr>
          <w:ilvl w:val="0"/>
          <w:numId w:val="2"/>
        </w:numPr>
        <w:rPr>
          <w:rFonts w:asciiTheme="minorHAnsi" w:eastAsiaTheme="minorEastAsia" w:hAnsiTheme="minorHAnsi"/>
        </w:rPr>
      </w:pPr>
      <w:r>
        <w:t xml:space="preserve">And </w:t>
      </w:r>
      <w:r w:rsidR="2CEF2BDA">
        <w:t>alongside</w:t>
      </w:r>
      <w:r>
        <w:t xml:space="preserve"> this</w:t>
      </w:r>
      <w:r w:rsidR="3087A818">
        <w:t xml:space="preserve"> </w:t>
      </w:r>
      <w:r w:rsidR="22F779B3">
        <w:t xml:space="preserve">analysis, </w:t>
      </w:r>
      <w:r w:rsidR="3087A818">
        <w:t xml:space="preserve">the </w:t>
      </w:r>
      <w:r w:rsidR="4217FCF5">
        <w:t xml:space="preserve">officers </w:t>
      </w:r>
      <w:r w:rsidR="5F629250">
        <w:t>collaborat</w:t>
      </w:r>
      <w:r w:rsidR="07265637">
        <w:t>e</w:t>
      </w:r>
      <w:r>
        <w:t xml:space="preserve"> with other LGA Boards</w:t>
      </w:r>
      <w:r w:rsidR="479BC7BC">
        <w:t>, councils and council partnerships</w:t>
      </w:r>
      <w:r w:rsidR="07F8B0BA">
        <w:t xml:space="preserve"> </w:t>
      </w:r>
      <w:r w:rsidR="79B3BE55">
        <w:t>to</w:t>
      </w:r>
      <w:r w:rsidR="2A2D5D24">
        <w:t xml:space="preserve"> build a work programme</w:t>
      </w:r>
      <w:r w:rsidR="79B3BE55">
        <w:t xml:space="preserve"> lobby</w:t>
      </w:r>
      <w:r w:rsidR="7BE10FA6">
        <w:t>ing</w:t>
      </w:r>
      <w:r w:rsidR="79B3BE55">
        <w:t xml:space="preserve"> for the policy and funding </w:t>
      </w:r>
      <w:r w:rsidR="79B3BE55">
        <w:lastRenderedPageBreak/>
        <w:t>changes needed to help councils deliver net zero</w:t>
      </w:r>
      <w:r w:rsidR="512ACDC6">
        <w:t>, including a mix of policy, research, events, communications and parliamentary work</w:t>
      </w:r>
      <w:r>
        <w:t>.</w:t>
      </w:r>
    </w:p>
    <w:p w14:paraId="7486514A" w14:textId="65AE57E5" w:rsidR="7929812A" w:rsidRDefault="7929812A" w:rsidP="7929812A">
      <w:pPr>
        <w:rPr>
          <w:rFonts w:eastAsia="Calibri"/>
        </w:rPr>
      </w:pPr>
    </w:p>
    <w:tbl>
      <w:tblPr>
        <w:tblStyle w:val="TableGrid"/>
        <w:tblW w:w="9021" w:type="dxa"/>
        <w:tblInd w:w="-5" w:type="dxa"/>
        <w:tblLook w:val="04A0" w:firstRow="1" w:lastRow="0" w:firstColumn="1" w:lastColumn="0" w:noHBand="0" w:noVBand="1"/>
      </w:tblPr>
      <w:tblGrid>
        <w:gridCol w:w="5835"/>
        <w:gridCol w:w="3186"/>
      </w:tblGrid>
      <w:tr w:rsidR="00B200FD" w14:paraId="1EA036C8" w14:textId="77777777" w:rsidTr="7929812A">
        <w:tc>
          <w:tcPr>
            <w:tcW w:w="9021" w:type="dxa"/>
            <w:gridSpan w:val="2"/>
            <w:tcBorders>
              <w:top w:val="single" w:sz="4" w:space="0" w:color="auto"/>
              <w:left w:val="single" w:sz="4" w:space="0" w:color="auto"/>
              <w:bottom w:val="single" w:sz="4" w:space="0" w:color="auto"/>
              <w:right w:val="single" w:sz="4" w:space="0" w:color="auto"/>
            </w:tcBorders>
            <w:hideMark/>
          </w:tcPr>
          <w:p w14:paraId="26156A6A" w14:textId="77777777" w:rsidR="00B200FD" w:rsidRDefault="00B200FD">
            <w:pPr>
              <w:pStyle w:val="ListParagraph"/>
              <w:ind w:left="0"/>
              <w:rPr>
                <w:b/>
                <w:bCs/>
              </w:rPr>
            </w:pPr>
            <w:r>
              <w:rPr>
                <w:b/>
                <w:bCs/>
              </w:rPr>
              <w:t>BUILDINGS</w:t>
            </w:r>
          </w:p>
        </w:tc>
      </w:tr>
      <w:tr w:rsidR="00B200FD" w14:paraId="624356DB" w14:textId="77777777" w:rsidTr="7929812A">
        <w:tc>
          <w:tcPr>
            <w:tcW w:w="5835" w:type="dxa"/>
            <w:tcBorders>
              <w:top w:val="single" w:sz="4" w:space="0" w:color="auto"/>
              <w:left w:val="single" w:sz="4" w:space="0" w:color="auto"/>
              <w:bottom w:val="single" w:sz="4" w:space="0" w:color="auto"/>
              <w:right w:val="single" w:sz="4" w:space="0" w:color="auto"/>
            </w:tcBorders>
            <w:hideMark/>
          </w:tcPr>
          <w:p w14:paraId="03625B12" w14:textId="1E5CD767" w:rsidR="00B200FD" w:rsidRDefault="00B200FD" w:rsidP="76B64403">
            <w:pPr>
              <w:pStyle w:val="ListParagraph"/>
              <w:ind w:left="0"/>
              <w:rPr>
                <w:b/>
                <w:bCs/>
              </w:rPr>
            </w:pPr>
            <w:r w:rsidRPr="76B64403">
              <w:rPr>
                <w:b/>
                <w:bCs/>
              </w:rPr>
              <w:t>C</w:t>
            </w:r>
            <w:r w:rsidR="25F4A6F4" w:rsidRPr="76B64403">
              <w:rPr>
                <w:b/>
                <w:bCs/>
              </w:rPr>
              <w:t>limate Change Committee’s independent</w:t>
            </w:r>
            <w:r w:rsidRPr="76B64403">
              <w:rPr>
                <w:b/>
                <w:bCs/>
              </w:rPr>
              <w:t xml:space="preserve"> commentary, a summary</w:t>
            </w:r>
          </w:p>
        </w:tc>
        <w:tc>
          <w:tcPr>
            <w:tcW w:w="3186" w:type="dxa"/>
            <w:tcBorders>
              <w:top w:val="single" w:sz="4" w:space="0" w:color="auto"/>
              <w:left w:val="single" w:sz="4" w:space="0" w:color="auto"/>
              <w:bottom w:val="single" w:sz="4" w:space="0" w:color="auto"/>
              <w:right w:val="single" w:sz="4" w:space="0" w:color="auto"/>
            </w:tcBorders>
            <w:hideMark/>
          </w:tcPr>
          <w:p w14:paraId="6F4C6ECB" w14:textId="47C7EDE0" w:rsidR="00B200FD" w:rsidRDefault="43BF0CB3" w:rsidP="76B64403">
            <w:pPr>
              <w:pStyle w:val="ListParagraph"/>
              <w:ind w:left="0"/>
              <w:rPr>
                <w:b/>
                <w:bCs/>
              </w:rPr>
            </w:pPr>
            <w:r w:rsidRPr="7929812A">
              <w:rPr>
                <w:b/>
                <w:bCs/>
              </w:rPr>
              <w:t xml:space="preserve">Potential </w:t>
            </w:r>
            <w:r w:rsidR="00B200FD" w:rsidRPr="7929812A">
              <w:rPr>
                <w:b/>
                <w:bCs/>
              </w:rPr>
              <w:t>LGA policy</w:t>
            </w:r>
            <w:r w:rsidR="44B7C1E6" w:rsidRPr="7929812A">
              <w:rPr>
                <w:b/>
                <w:bCs/>
              </w:rPr>
              <w:t>/lobbying</w:t>
            </w:r>
            <w:r w:rsidR="00B200FD" w:rsidRPr="7929812A">
              <w:rPr>
                <w:b/>
                <w:bCs/>
              </w:rPr>
              <w:t xml:space="preserve"> </w:t>
            </w:r>
            <w:r w:rsidR="507FBFCE" w:rsidRPr="7929812A">
              <w:rPr>
                <w:b/>
                <w:bCs/>
              </w:rPr>
              <w:t>objectives</w:t>
            </w:r>
          </w:p>
        </w:tc>
      </w:tr>
      <w:tr w:rsidR="00B200FD" w14:paraId="44E63918" w14:textId="77777777" w:rsidTr="7929812A">
        <w:tc>
          <w:tcPr>
            <w:tcW w:w="5835" w:type="dxa"/>
            <w:tcBorders>
              <w:top w:val="single" w:sz="4" w:space="0" w:color="auto"/>
              <w:left w:val="single" w:sz="4" w:space="0" w:color="auto"/>
              <w:bottom w:val="single" w:sz="4" w:space="0" w:color="auto"/>
              <w:right w:val="single" w:sz="4" w:space="0" w:color="auto"/>
            </w:tcBorders>
          </w:tcPr>
          <w:p w14:paraId="4C680C2A" w14:textId="77777777" w:rsidR="00B200FD" w:rsidRDefault="00B200FD">
            <w:pPr>
              <w:rPr>
                <w:u w:val="single"/>
              </w:rPr>
            </w:pPr>
            <w:r>
              <w:rPr>
                <w:u w:val="single"/>
              </w:rPr>
              <w:t xml:space="preserve">Does the proposed ambition broadly align to the UK climate targets? </w:t>
            </w:r>
          </w:p>
          <w:p w14:paraId="4EA783B8" w14:textId="77777777" w:rsidR="00B200FD" w:rsidRDefault="00B200FD"/>
          <w:p w14:paraId="0B75093B" w14:textId="77777777" w:rsidR="00B200FD" w:rsidRDefault="00B200FD">
            <w:r>
              <w:t>The strategy sets out a vision for the UK where almost all buildings produce zero emissions by 2050.</w:t>
            </w:r>
          </w:p>
          <w:p w14:paraId="23EFD8AE" w14:textId="77777777" w:rsidR="00B200FD" w:rsidRDefault="00B200FD"/>
          <w:p w14:paraId="4358402F" w14:textId="77777777" w:rsidR="00B200FD" w:rsidRDefault="00B200FD">
            <w:r>
              <w:t>That is backed by a 2035 target date to upgrade most of the housing stock to an EPC C efficiency rating and to phase out installation of natural gas boilers. The Government will consult on phasing out installation of high-carbon fossil fuel boilers in off-grid buildings by 2024 (non-domestic) and 2026 (residential).</w:t>
            </w:r>
          </w:p>
          <w:p w14:paraId="2BA33506" w14:textId="77777777" w:rsidR="00B200FD" w:rsidRDefault="00B200FD"/>
        </w:tc>
        <w:tc>
          <w:tcPr>
            <w:tcW w:w="3186" w:type="dxa"/>
            <w:tcBorders>
              <w:top w:val="single" w:sz="4" w:space="0" w:color="auto"/>
              <w:left w:val="single" w:sz="4" w:space="0" w:color="auto"/>
              <w:bottom w:val="single" w:sz="4" w:space="0" w:color="auto"/>
              <w:right w:val="single" w:sz="4" w:space="0" w:color="auto"/>
            </w:tcBorders>
          </w:tcPr>
          <w:p w14:paraId="3A8D6DC8" w14:textId="0546461C" w:rsidR="00B200FD" w:rsidRDefault="00B200FD">
            <w:pPr>
              <w:pStyle w:val="ListParagraph"/>
              <w:ind w:left="0"/>
            </w:pPr>
          </w:p>
          <w:p w14:paraId="7AF07C99" w14:textId="463782C5" w:rsidR="00B200FD" w:rsidRDefault="00B200FD" w:rsidP="76B64403">
            <w:pPr>
              <w:pStyle w:val="ListParagraph"/>
              <w:ind w:left="0"/>
              <w:rPr>
                <w:rFonts w:eastAsia="Calibri"/>
              </w:rPr>
            </w:pPr>
          </w:p>
          <w:p w14:paraId="60ABCF97" w14:textId="78520A95" w:rsidR="00B200FD" w:rsidRDefault="00B200FD" w:rsidP="76B64403">
            <w:pPr>
              <w:pStyle w:val="ListParagraph"/>
              <w:ind w:left="0"/>
              <w:rPr>
                <w:rFonts w:eastAsia="Calibri"/>
              </w:rPr>
            </w:pPr>
          </w:p>
          <w:p w14:paraId="35AE7ACD" w14:textId="5BD68D3C" w:rsidR="00B200FD" w:rsidRDefault="5130DE04" w:rsidP="76B64403">
            <w:pPr>
              <w:pStyle w:val="ListParagraph"/>
              <w:ind w:left="0"/>
              <w:rPr>
                <w:rFonts w:eastAsia="Calibri"/>
              </w:rPr>
            </w:pPr>
            <w:r w:rsidRPr="7929812A">
              <w:rPr>
                <w:rFonts w:eastAsia="Calibri"/>
              </w:rPr>
              <w:t>Demonstrating significance of</w:t>
            </w:r>
            <w:r w:rsidR="2F9C3CEA" w:rsidRPr="7929812A">
              <w:rPr>
                <w:rFonts w:eastAsia="Calibri"/>
              </w:rPr>
              <w:t xml:space="preserve"> councils’</w:t>
            </w:r>
            <w:r w:rsidR="54DE20E5" w:rsidRPr="7929812A">
              <w:rPr>
                <w:rFonts w:eastAsia="Calibri"/>
              </w:rPr>
              <w:t xml:space="preserve"> s</w:t>
            </w:r>
            <w:r w:rsidR="67B3C7F3" w:rsidRPr="7929812A">
              <w:rPr>
                <w:rFonts w:eastAsia="Calibri"/>
              </w:rPr>
              <w:t>t</w:t>
            </w:r>
            <w:r w:rsidR="5F4CAE4C" w:rsidRPr="7929812A">
              <w:rPr>
                <w:rFonts w:eastAsia="Calibri"/>
              </w:rPr>
              <w:t>r</w:t>
            </w:r>
            <w:r w:rsidR="67B3C7F3" w:rsidRPr="7929812A">
              <w:rPr>
                <w:rFonts w:eastAsia="Calibri"/>
              </w:rPr>
              <w:t>ategic vision within local areas</w:t>
            </w:r>
            <w:r w:rsidR="0741AF7A" w:rsidRPr="7929812A">
              <w:rPr>
                <w:rFonts w:eastAsia="Calibri"/>
              </w:rPr>
              <w:t>.</w:t>
            </w:r>
            <w:r w:rsidR="67B3C7F3" w:rsidRPr="7929812A">
              <w:rPr>
                <w:rFonts w:eastAsia="Calibri"/>
              </w:rPr>
              <w:t xml:space="preserve"> </w:t>
            </w:r>
            <w:r w:rsidR="4EEAC70C" w:rsidRPr="7929812A">
              <w:rPr>
                <w:rFonts w:eastAsia="Calibri"/>
              </w:rPr>
              <w:t>O</w:t>
            </w:r>
            <w:r w:rsidR="67B3C7F3" w:rsidRPr="7929812A">
              <w:rPr>
                <w:rFonts w:eastAsia="Calibri"/>
              </w:rPr>
              <w:t>verall role of councils in understanding local housing stock</w:t>
            </w:r>
            <w:r w:rsidR="2CE49CF1" w:rsidRPr="7929812A">
              <w:rPr>
                <w:rFonts w:eastAsia="Calibri"/>
              </w:rPr>
              <w:t xml:space="preserve">, supply chains etc, and </w:t>
            </w:r>
            <w:r w:rsidR="59C49E71" w:rsidRPr="7929812A">
              <w:rPr>
                <w:rFonts w:eastAsia="Calibri"/>
              </w:rPr>
              <w:t xml:space="preserve">local </w:t>
            </w:r>
            <w:r w:rsidR="2D51EF61" w:rsidRPr="7929812A">
              <w:rPr>
                <w:rFonts w:eastAsia="Calibri"/>
              </w:rPr>
              <w:t xml:space="preserve">delivery </w:t>
            </w:r>
            <w:r w:rsidR="2CE49CF1" w:rsidRPr="7929812A">
              <w:rPr>
                <w:rFonts w:eastAsia="Calibri"/>
              </w:rPr>
              <w:t xml:space="preserve">opportunities and </w:t>
            </w:r>
            <w:r w:rsidR="6438C79C" w:rsidRPr="7929812A">
              <w:rPr>
                <w:rFonts w:eastAsia="Calibri"/>
              </w:rPr>
              <w:t>challenges</w:t>
            </w:r>
            <w:r w:rsidR="67B3C7F3" w:rsidRPr="7929812A">
              <w:rPr>
                <w:rFonts w:eastAsia="Calibri"/>
              </w:rPr>
              <w:t>.</w:t>
            </w:r>
          </w:p>
          <w:p w14:paraId="32867161" w14:textId="07523FFC" w:rsidR="00B200FD" w:rsidRDefault="00B200FD" w:rsidP="76B64403">
            <w:pPr>
              <w:pStyle w:val="ListParagraph"/>
              <w:ind w:left="0"/>
              <w:rPr>
                <w:rFonts w:eastAsia="Calibri"/>
              </w:rPr>
            </w:pPr>
          </w:p>
          <w:p w14:paraId="2F35FAE0" w14:textId="486CDEA9" w:rsidR="00B200FD" w:rsidRDefault="00B200FD" w:rsidP="76B64403">
            <w:pPr>
              <w:pStyle w:val="ListParagraph"/>
              <w:ind w:left="0"/>
              <w:rPr>
                <w:rFonts w:eastAsia="Calibri"/>
              </w:rPr>
            </w:pPr>
          </w:p>
        </w:tc>
      </w:tr>
      <w:tr w:rsidR="00B200FD" w14:paraId="2D972CD3" w14:textId="77777777" w:rsidTr="7929812A">
        <w:tc>
          <w:tcPr>
            <w:tcW w:w="5835" w:type="dxa"/>
            <w:tcBorders>
              <w:top w:val="single" w:sz="4" w:space="0" w:color="auto"/>
              <w:left w:val="single" w:sz="4" w:space="0" w:color="auto"/>
              <w:bottom w:val="single" w:sz="4" w:space="0" w:color="auto"/>
              <w:right w:val="single" w:sz="4" w:space="0" w:color="auto"/>
            </w:tcBorders>
          </w:tcPr>
          <w:p w14:paraId="4F291FC4" w14:textId="77777777" w:rsidR="00B200FD" w:rsidRDefault="00B200FD">
            <w:pPr>
              <w:pStyle w:val="ListParagraph"/>
              <w:ind w:left="0"/>
              <w:rPr>
                <w:u w:val="single"/>
              </w:rPr>
            </w:pPr>
            <w:r>
              <w:rPr>
                <w:u w:val="single"/>
              </w:rPr>
              <w:t>Have credible delivery policies been proposed or put in place?</w:t>
            </w:r>
          </w:p>
          <w:p w14:paraId="77B47811" w14:textId="77777777" w:rsidR="00B200FD" w:rsidRDefault="00B200FD">
            <w:pPr>
              <w:pStyle w:val="ListParagraph"/>
              <w:ind w:left="0"/>
            </w:pPr>
          </w:p>
          <w:p w14:paraId="616F2A85" w14:textId="77777777" w:rsidR="00B200FD" w:rsidRDefault="00B200FD">
            <w:pPr>
              <w:pStyle w:val="ListParagraph"/>
              <w:ind w:left="0"/>
            </w:pPr>
            <w:r>
              <w:t>The Future Homes Standard will regulate to ensure that new homes built from 2025 (at the latest) do not need fossil-fuel heating.</w:t>
            </w:r>
          </w:p>
          <w:p w14:paraId="00BF2462" w14:textId="77777777" w:rsidR="00B200FD" w:rsidRDefault="00B200FD">
            <w:pPr>
              <w:pStyle w:val="ListParagraph"/>
              <w:ind w:left="0"/>
            </w:pPr>
          </w:p>
          <w:p w14:paraId="3FE384F0" w14:textId="77777777" w:rsidR="00B200FD" w:rsidRDefault="00B200FD">
            <w:pPr>
              <w:pStyle w:val="ListParagraph"/>
              <w:ind w:left="0"/>
            </w:pPr>
            <w:r>
              <w:t xml:space="preserve">Public funding to 2025 will support energy efficiency and some low-carbon heat for social housing, those in fuel poverty, local authorities and public sector buildings, plus a small number of heat pumps and some heat networks. Standards for rented properties will require efficiency improvements to inefficient properties. </w:t>
            </w:r>
          </w:p>
          <w:p w14:paraId="1CA6DED1" w14:textId="1697D20A" w:rsidR="76B64403" w:rsidRDefault="76B64403" w:rsidP="76B64403">
            <w:pPr>
              <w:pStyle w:val="ListParagraph"/>
              <w:ind w:left="0"/>
              <w:rPr>
                <w:rFonts w:eastAsia="Calibri"/>
              </w:rPr>
            </w:pPr>
          </w:p>
          <w:p w14:paraId="166FD404" w14:textId="77777777" w:rsidR="00B200FD" w:rsidRDefault="00B200FD">
            <w:pPr>
              <w:pStyle w:val="ListParagraph"/>
              <w:ind w:left="0"/>
            </w:pPr>
          </w:p>
          <w:p w14:paraId="5B2560D0" w14:textId="77777777" w:rsidR="00B200FD" w:rsidRDefault="00B200FD">
            <w:pPr>
              <w:pStyle w:val="ListParagraph"/>
              <w:ind w:left="0"/>
            </w:pPr>
            <w:r>
              <w:t xml:space="preserve">For the 60% of homes which are owner-occupied and not fuel poor, there are no mechanisms to allocate costs or stimulate the market for efficiency aside from a voluntary target on lenders. The Net Zero Strategy says the Government plans to consult on options. Poor progress here would undermine the SAP C target and all associated low-carbon heating savings. </w:t>
            </w:r>
          </w:p>
          <w:p w14:paraId="43FFF0B7" w14:textId="77777777" w:rsidR="00B200FD" w:rsidRDefault="00B200FD">
            <w:pPr>
              <w:pStyle w:val="ListParagraph"/>
              <w:ind w:left="0"/>
            </w:pPr>
          </w:p>
          <w:p w14:paraId="4CC27E90" w14:textId="77777777" w:rsidR="00B200FD" w:rsidRDefault="00B200FD">
            <w:pPr>
              <w:pStyle w:val="ListParagraph"/>
              <w:ind w:left="0"/>
            </w:pPr>
            <w:r>
              <w:t xml:space="preserve">Wider roll-out of heat pumps is to be driven by standards and a market mechanism. The Government will consult on an obligation on boiler manufacturers to grow their sales of heat pumps. Details are currently limited, and this approach relies on industry successfully driving down costs and strengthening the consumer offering. </w:t>
            </w:r>
          </w:p>
          <w:p w14:paraId="5C7E2B3C" w14:textId="77777777" w:rsidR="00B200FD" w:rsidRDefault="00B200FD">
            <w:pPr>
              <w:pStyle w:val="ListParagraph"/>
              <w:ind w:left="0"/>
            </w:pPr>
          </w:p>
          <w:p w14:paraId="6F4D7D3A" w14:textId="77777777" w:rsidR="00B200FD" w:rsidRDefault="00B200FD">
            <w:pPr>
              <w:pStyle w:val="ListParagraph"/>
              <w:ind w:left="0"/>
            </w:pPr>
            <w:r>
              <w:lastRenderedPageBreak/>
              <w:t>For heat networks, the Government will provide some funding and introduce some enabling measures, such as heat network zoning by 2025. The Strategy commits to introduce Heat Network Market Regulation as soon as possible. Strong, well-designed regulations will be needed to support the planned roll-out.</w:t>
            </w:r>
          </w:p>
          <w:p w14:paraId="0ACA1182" w14:textId="77777777" w:rsidR="00B200FD" w:rsidRDefault="00B200FD">
            <w:pPr>
              <w:pStyle w:val="ListParagraph"/>
              <w:ind w:left="0"/>
            </w:pPr>
          </w:p>
          <w:p w14:paraId="050E7063" w14:textId="77777777" w:rsidR="00B200FD" w:rsidRDefault="00B200FD">
            <w:pPr>
              <w:pStyle w:val="ListParagraph"/>
              <w:ind w:left="0"/>
            </w:pPr>
            <w:r>
              <w:t>For commercial buildings, the main levers are standards – on landlords to improve efficiency and (subject to consultation) on the phase-out of installations of fossil fuel boilers. Large buildings will also have sector-by-sector energy reduction targets and information to support these. Some decisions are not yet finalised and further details are needed.</w:t>
            </w:r>
          </w:p>
          <w:p w14:paraId="15FA365F" w14:textId="77777777" w:rsidR="00B200FD" w:rsidRDefault="00B200FD">
            <w:pPr>
              <w:pStyle w:val="ListParagraph"/>
              <w:ind w:left="0"/>
            </w:pPr>
          </w:p>
          <w:p w14:paraId="3B049B07" w14:textId="77777777" w:rsidR="00B200FD" w:rsidRDefault="00B200FD">
            <w:pPr>
              <w:pStyle w:val="ListParagraph"/>
              <w:ind w:left="0"/>
            </w:pPr>
            <w:r>
              <w:t>For public sector buildings, the delivery policy focuses on providing funding and capacity to public sector organisations and asking them to disclose progress annually against their emissions reduction plans. It is unclear how effective these plans will be. There is no suggestion of an EPC or in-use performance-based target for public sector buildings</w:t>
            </w:r>
          </w:p>
          <w:p w14:paraId="3ABC1E14" w14:textId="77777777" w:rsidR="00B200FD" w:rsidRDefault="00B200FD">
            <w:pPr>
              <w:pStyle w:val="ListParagraph"/>
              <w:ind w:left="0"/>
            </w:pPr>
          </w:p>
        </w:tc>
        <w:tc>
          <w:tcPr>
            <w:tcW w:w="3186" w:type="dxa"/>
            <w:tcBorders>
              <w:top w:val="single" w:sz="4" w:space="0" w:color="auto"/>
              <w:left w:val="single" w:sz="4" w:space="0" w:color="auto"/>
              <w:bottom w:val="single" w:sz="4" w:space="0" w:color="auto"/>
              <w:right w:val="single" w:sz="4" w:space="0" w:color="auto"/>
            </w:tcBorders>
          </w:tcPr>
          <w:p w14:paraId="2D42BD27" w14:textId="2D40211E" w:rsidR="00B200FD" w:rsidRDefault="00B200FD">
            <w:pPr>
              <w:pStyle w:val="ListParagraph"/>
              <w:ind w:left="0"/>
            </w:pPr>
          </w:p>
          <w:p w14:paraId="6C315D1A" w14:textId="18BF66D0" w:rsidR="00B200FD" w:rsidRDefault="00B200FD" w:rsidP="7A1B4C8F">
            <w:pPr>
              <w:pStyle w:val="ListParagraph"/>
              <w:ind w:left="0"/>
              <w:rPr>
                <w:rFonts w:eastAsia="Calibri"/>
              </w:rPr>
            </w:pPr>
          </w:p>
          <w:p w14:paraId="6B49CAC6" w14:textId="084E8AB6" w:rsidR="00B200FD" w:rsidRDefault="00B200FD" w:rsidP="76B64403">
            <w:pPr>
              <w:pStyle w:val="ListParagraph"/>
              <w:ind w:left="0"/>
              <w:rPr>
                <w:rFonts w:eastAsia="Calibri"/>
              </w:rPr>
            </w:pPr>
          </w:p>
          <w:p w14:paraId="2C2520FA" w14:textId="2B647C4D" w:rsidR="00B200FD" w:rsidRDefault="2089FE28" w:rsidP="76B64403">
            <w:pPr>
              <w:pStyle w:val="ListParagraph"/>
              <w:ind w:left="0"/>
              <w:rPr>
                <w:rFonts w:eastAsia="Arial" w:cs="Arial"/>
              </w:rPr>
            </w:pPr>
            <w:r w:rsidRPr="76B64403">
              <w:rPr>
                <w:rFonts w:eastAsia="Arial" w:cs="Arial"/>
              </w:rPr>
              <w:t>Role of councils in supporting developers to achieve thi</w:t>
            </w:r>
            <w:r w:rsidR="5B2B4451" w:rsidRPr="76B64403">
              <w:rPr>
                <w:rFonts w:eastAsia="Arial" w:cs="Arial"/>
              </w:rPr>
              <w:t>s – infrastructure, planning etc</w:t>
            </w:r>
            <w:r w:rsidRPr="76B64403">
              <w:rPr>
                <w:rFonts w:eastAsia="Arial" w:cs="Arial"/>
              </w:rPr>
              <w:t>.</w:t>
            </w:r>
          </w:p>
          <w:p w14:paraId="6D204668" w14:textId="266F2654" w:rsidR="00B200FD" w:rsidRDefault="00B200FD" w:rsidP="76B64403">
            <w:pPr>
              <w:pStyle w:val="ListParagraph"/>
              <w:ind w:left="0"/>
              <w:rPr>
                <w:rFonts w:eastAsia="Calibri"/>
              </w:rPr>
            </w:pPr>
          </w:p>
          <w:p w14:paraId="3B6350A4" w14:textId="1612E1F9" w:rsidR="00B200FD" w:rsidRDefault="536A1AD5" w:rsidP="76B64403">
            <w:pPr>
              <w:pStyle w:val="ListParagraph"/>
              <w:ind w:left="0"/>
              <w:rPr>
                <w:rFonts w:eastAsia="Calibri"/>
              </w:rPr>
            </w:pPr>
            <w:r w:rsidRPr="76B64403">
              <w:rPr>
                <w:rFonts w:eastAsia="Arial" w:cs="Arial"/>
              </w:rPr>
              <w:t xml:space="preserve">Funding being sufficient, </w:t>
            </w:r>
            <w:r w:rsidR="70DACB8C" w:rsidRPr="76B64403">
              <w:rPr>
                <w:rFonts w:eastAsia="Arial" w:cs="Arial"/>
              </w:rPr>
              <w:t xml:space="preserve">certain, timely </w:t>
            </w:r>
            <w:r w:rsidRPr="76B64403">
              <w:rPr>
                <w:rFonts w:eastAsia="Arial" w:cs="Arial"/>
              </w:rPr>
              <w:t>flexible and simple.</w:t>
            </w:r>
          </w:p>
          <w:p w14:paraId="3F01A171" w14:textId="62E5F6B9" w:rsidR="00B200FD" w:rsidRDefault="00B200FD" w:rsidP="76B64403">
            <w:pPr>
              <w:pStyle w:val="ListParagraph"/>
              <w:ind w:left="0"/>
              <w:rPr>
                <w:rFonts w:eastAsia="Arial" w:cs="Arial"/>
              </w:rPr>
            </w:pPr>
          </w:p>
          <w:p w14:paraId="32B8DCF9" w14:textId="54AD834F" w:rsidR="00B200FD" w:rsidRDefault="57759A99" w:rsidP="76B64403">
            <w:pPr>
              <w:pStyle w:val="ListParagraph"/>
              <w:ind w:left="0"/>
              <w:rPr>
                <w:rFonts w:eastAsia="Calibri"/>
              </w:rPr>
            </w:pPr>
            <w:r w:rsidRPr="7929812A">
              <w:rPr>
                <w:rFonts w:eastAsia="Arial" w:cs="Arial"/>
              </w:rPr>
              <w:t>Expectations on</w:t>
            </w:r>
            <w:r w:rsidR="01DB4BD8" w:rsidRPr="7929812A">
              <w:rPr>
                <w:rFonts w:eastAsia="Arial" w:cs="Arial"/>
              </w:rPr>
              <w:t xml:space="preserve"> councils and</w:t>
            </w:r>
            <w:r w:rsidRPr="7929812A">
              <w:rPr>
                <w:rFonts w:eastAsia="Arial" w:cs="Arial"/>
              </w:rPr>
              <w:t xml:space="preserve"> c</w:t>
            </w:r>
            <w:r w:rsidR="6640E54E" w:rsidRPr="7929812A">
              <w:rPr>
                <w:rFonts w:eastAsia="Arial" w:cs="Arial"/>
              </w:rPr>
              <w:t>hallenge/</w:t>
            </w:r>
            <w:r w:rsidR="7A6D4112" w:rsidRPr="7929812A">
              <w:rPr>
                <w:rFonts w:eastAsia="Arial" w:cs="Arial"/>
              </w:rPr>
              <w:t xml:space="preserve"> </w:t>
            </w:r>
            <w:r w:rsidR="6640E54E" w:rsidRPr="7929812A">
              <w:rPr>
                <w:rFonts w:eastAsia="Arial" w:cs="Arial"/>
              </w:rPr>
              <w:t>opportunity of engaging PRS.</w:t>
            </w:r>
          </w:p>
          <w:p w14:paraId="25640F5F" w14:textId="2A363B71" w:rsidR="00B200FD" w:rsidRDefault="00B200FD" w:rsidP="76B64403">
            <w:pPr>
              <w:pStyle w:val="ListParagraph"/>
              <w:ind w:left="0"/>
              <w:rPr>
                <w:rFonts w:eastAsia="Calibri"/>
              </w:rPr>
            </w:pPr>
          </w:p>
          <w:p w14:paraId="44777ECF" w14:textId="2CE7B578" w:rsidR="00B200FD" w:rsidRDefault="1B1B1DFD" w:rsidP="76B64403">
            <w:pPr>
              <w:pStyle w:val="ListParagraph"/>
              <w:ind w:left="0"/>
              <w:rPr>
                <w:rFonts w:eastAsia="Calibri"/>
              </w:rPr>
            </w:pPr>
            <w:r w:rsidRPr="76B64403">
              <w:rPr>
                <w:rFonts w:eastAsia="Calibri"/>
              </w:rPr>
              <w:t>C</w:t>
            </w:r>
            <w:r w:rsidR="6352C837" w:rsidRPr="76B64403">
              <w:rPr>
                <w:rFonts w:eastAsia="Calibri"/>
              </w:rPr>
              <w:t>larity of role for c</w:t>
            </w:r>
            <w:r w:rsidR="3F0AE55A" w:rsidRPr="76B64403">
              <w:rPr>
                <w:rFonts w:eastAsia="Calibri"/>
              </w:rPr>
              <w:t xml:space="preserve">ouncils </w:t>
            </w:r>
            <w:r w:rsidR="07D83D59" w:rsidRPr="76B64403">
              <w:rPr>
                <w:rFonts w:eastAsia="Calibri"/>
              </w:rPr>
              <w:t xml:space="preserve">as community leaders </w:t>
            </w:r>
            <w:r w:rsidR="07A8EAE8" w:rsidRPr="76B64403">
              <w:rPr>
                <w:rFonts w:eastAsia="Calibri"/>
              </w:rPr>
              <w:t>working with owner-occupiers to e</w:t>
            </w:r>
            <w:r w:rsidR="1F009C72" w:rsidRPr="76B64403">
              <w:rPr>
                <w:rFonts w:eastAsia="Calibri"/>
              </w:rPr>
              <w:t>ncourage household investment</w:t>
            </w:r>
            <w:r w:rsidR="644CF361" w:rsidRPr="76B64403">
              <w:rPr>
                <w:rFonts w:eastAsia="Calibri"/>
              </w:rPr>
              <w:t>, support local supply-chains etc</w:t>
            </w:r>
            <w:r w:rsidR="07A8EAE8" w:rsidRPr="76B64403">
              <w:rPr>
                <w:rFonts w:eastAsia="Calibri"/>
              </w:rPr>
              <w:t>.</w:t>
            </w:r>
          </w:p>
          <w:p w14:paraId="0ED42D90" w14:textId="7D06BCFC" w:rsidR="00B200FD" w:rsidRDefault="00B200FD" w:rsidP="76B64403">
            <w:pPr>
              <w:pStyle w:val="ListParagraph"/>
              <w:ind w:left="0"/>
              <w:rPr>
                <w:rFonts w:eastAsia="Calibri"/>
              </w:rPr>
            </w:pPr>
          </w:p>
          <w:p w14:paraId="11D91129" w14:textId="1AE28C22" w:rsidR="00B200FD" w:rsidRDefault="00B200FD" w:rsidP="76B64403">
            <w:pPr>
              <w:pStyle w:val="ListParagraph"/>
              <w:ind w:left="0"/>
              <w:rPr>
                <w:rFonts w:eastAsia="Calibri"/>
              </w:rPr>
            </w:pPr>
          </w:p>
          <w:p w14:paraId="76B49212" w14:textId="449B8515" w:rsidR="00B200FD" w:rsidRDefault="391275C7" w:rsidP="76B64403">
            <w:pPr>
              <w:pStyle w:val="ListParagraph"/>
              <w:ind w:left="0"/>
              <w:rPr>
                <w:rFonts w:eastAsia="Calibri"/>
              </w:rPr>
            </w:pPr>
            <w:r w:rsidRPr="76B64403">
              <w:rPr>
                <w:rFonts w:eastAsia="Calibri"/>
              </w:rPr>
              <w:t>Powers enabling councils to support local businesses and connect new jobs with local education and skills providers.</w:t>
            </w:r>
          </w:p>
          <w:p w14:paraId="25991891" w14:textId="499CBA61" w:rsidR="00B200FD" w:rsidRDefault="00B200FD" w:rsidP="76B64403">
            <w:pPr>
              <w:pStyle w:val="ListParagraph"/>
              <w:ind w:left="0"/>
              <w:rPr>
                <w:rFonts w:eastAsia="Calibri"/>
              </w:rPr>
            </w:pPr>
          </w:p>
          <w:p w14:paraId="1AC265C2" w14:textId="218F8D96" w:rsidR="00B200FD" w:rsidRDefault="00B200FD" w:rsidP="76B64403">
            <w:pPr>
              <w:pStyle w:val="ListParagraph"/>
              <w:ind w:left="0"/>
              <w:rPr>
                <w:rFonts w:eastAsia="Calibri"/>
              </w:rPr>
            </w:pPr>
          </w:p>
          <w:p w14:paraId="36BFFF44" w14:textId="663536E4" w:rsidR="00B200FD" w:rsidRDefault="391275C7" w:rsidP="76B64403">
            <w:pPr>
              <w:pStyle w:val="ListParagraph"/>
              <w:ind w:left="0"/>
              <w:rPr>
                <w:rFonts w:eastAsia="Calibri"/>
              </w:rPr>
            </w:pPr>
            <w:r w:rsidRPr="76B64403">
              <w:rPr>
                <w:rFonts w:eastAsia="Calibri"/>
              </w:rPr>
              <w:lastRenderedPageBreak/>
              <w:t>Support for councils active in growing local heat networks.</w:t>
            </w:r>
          </w:p>
          <w:p w14:paraId="3F1F5328" w14:textId="378204EC" w:rsidR="00B200FD" w:rsidRDefault="00B200FD" w:rsidP="76B64403">
            <w:pPr>
              <w:pStyle w:val="ListParagraph"/>
              <w:ind w:left="0"/>
              <w:rPr>
                <w:rFonts w:eastAsia="Calibri"/>
              </w:rPr>
            </w:pPr>
          </w:p>
          <w:p w14:paraId="04847803" w14:textId="45CE9A3F" w:rsidR="00B200FD" w:rsidRDefault="00B200FD" w:rsidP="76B64403">
            <w:pPr>
              <w:pStyle w:val="ListParagraph"/>
              <w:ind w:left="0"/>
              <w:rPr>
                <w:rFonts w:eastAsia="Calibri"/>
              </w:rPr>
            </w:pPr>
          </w:p>
          <w:p w14:paraId="37075AEB" w14:textId="0168E567" w:rsidR="00B200FD" w:rsidRDefault="00B200FD" w:rsidP="76B64403">
            <w:pPr>
              <w:pStyle w:val="ListParagraph"/>
              <w:ind w:left="0"/>
              <w:rPr>
                <w:rFonts w:eastAsia="Calibri"/>
              </w:rPr>
            </w:pPr>
          </w:p>
          <w:p w14:paraId="18C70735" w14:textId="4467679F" w:rsidR="00B200FD" w:rsidRDefault="00B200FD" w:rsidP="76B64403">
            <w:pPr>
              <w:pStyle w:val="ListParagraph"/>
              <w:ind w:left="0"/>
              <w:rPr>
                <w:rFonts w:eastAsia="Calibri"/>
              </w:rPr>
            </w:pPr>
          </w:p>
          <w:p w14:paraId="4310C64E" w14:textId="77F4367E" w:rsidR="00B200FD" w:rsidRDefault="00B200FD" w:rsidP="76B64403">
            <w:pPr>
              <w:pStyle w:val="ListParagraph"/>
              <w:ind w:left="0"/>
              <w:rPr>
                <w:rFonts w:eastAsia="Calibri"/>
              </w:rPr>
            </w:pPr>
          </w:p>
          <w:p w14:paraId="0C7A4BE7" w14:textId="4742DAAE" w:rsidR="00B200FD" w:rsidRDefault="2E40A80F" w:rsidP="76B64403">
            <w:pPr>
              <w:pStyle w:val="ListParagraph"/>
              <w:ind w:left="0"/>
              <w:rPr>
                <w:rFonts w:eastAsia="Calibri"/>
              </w:rPr>
            </w:pPr>
            <w:r w:rsidRPr="76B64403">
              <w:rPr>
                <w:rFonts w:eastAsia="Calibri"/>
              </w:rPr>
              <w:t>Clarity on role of councils in enforcement, backed with resources etc.</w:t>
            </w:r>
          </w:p>
          <w:p w14:paraId="645F5A35" w14:textId="596DEAE6" w:rsidR="00B200FD" w:rsidRDefault="00B200FD" w:rsidP="76B64403">
            <w:pPr>
              <w:pStyle w:val="ListParagraph"/>
              <w:ind w:left="0"/>
              <w:rPr>
                <w:rFonts w:eastAsia="Calibri"/>
              </w:rPr>
            </w:pPr>
          </w:p>
          <w:p w14:paraId="00A561AA" w14:textId="0C7550B1" w:rsidR="00B200FD" w:rsidRDefault="00B200FD" w:rsidP="76B64403">
            <w:pPr>
              <w:pStyle w:val="ListParagraph"/>
              <w:ind w:left="0"/>
              <w:rPr>
                <w:rFonts w:eastAsia="Calibri"/>
              </w:rPr>
            </w:pPr>
          </w:p>
          <w:p w14:paraId="16A21EA9" w14:textId="420ED70D" w:rsidR="00B200FD" w:rsidRDefault="00B200FD" w:rsidP="76B64403">
            <w:pPr>
              <w:pStyle w:val="ListParagraph"/>
              <w:ind w:left="0"/>
              <w:rPr>
                <w:rFonts w:eastAsia="Calibri"/>
              </w:rPr>
            </w:pPr>
          </w:p>
          <w:p w14:paraId="4EF3C16B" w14:textId="31615800" w:rsidR="00B200FD" w:rsidRDefault="00B200FD" w:rsidP="76B64403">
            <w:pPr>
              <w:pStyle w:val="ListParagraph"/>
              <w:ind w:left="0"/>
              <w:rPr>
                <w:rFonts w:eastAsia="Calibri"/>
              </w:rPr>
            </w:pPr>
          </w:p>
          <w:p w14:paraId="7CF483B8" w14:textId="193C672C" w:rsidR="00B200FD" w:rsidRDefault="00B200FD" w:rsidP="76B64403">
            <w:pPr>
              <w:pStyle w:val="ListParagraph"/>
              <w:ind w:left="0"/>
              <w:rPr>
                <w:rFonts w:eastAsia="Calibri"/>
              </w:rPr>
            </w:pPr>
          </w:p>
          <w:p w14:paraId="5DDACA7E" w14:textId="5A4C9064" w:rsidR="00B200FD" w:rsidRDefault="2E40A80F" w:rsidP="76B64403">
            <w:pPr>
              <w:pStyle w:val="ListParagraph"/>
              <w:ind w:left="0"/>
              <w:rPr>
                <w:rFonts w:eastAsia="Calibri"/>
              </w:rPr>
            </w:pPr>
            <w:r w:rsidRPr="76B64403">
              <w:rPr>
                <w:rFonts w:eastAsia="Calibri"/>
              </w:rPr>
              <w:t>Clarity of expectations on councils</w:t>
            </w:r>
            <w:r w:rsidR="0ADCE50B" w:rsidRPr="76B64403">
              <w:rPr>
                <w:rFonts w:eastAsia="Calibri"/>
              </w:rPr>
              <w:t>, and access to sufficient, certain long-term funding</w:t>
            </w:r>
            <w:r w:rsidRPr="76B64403">
              <w:rPr>
                <w:rFonts w:eastAsia="Calibri"/>
              </w:rPr>
              <w:t>.</w:t>
            </w:r>
          </w:p>
        </w:tc>
      </w:tr>
      <w:tr w:rsidR="00B200FD" w14:paraId="778835B9" w14:textId="77777777" w:rsidTr="7929812A">
        <w:tc>
          <w:tcPr>
            <w:tcW w:w="5835" w:type="dxa"/>
            <w:tcBorders>
              <w:top w:val="single" w:sz="4" w:space="0" w:color="auto"/>
              <w:left w:val="single" w:sz="4" w:space="0" w:color="auto"/>
              <w:bottom w:val="single" w:sz="4" w:space="0" w:color="auto"/>
              <w:right w:val="single" w:sz="4" w:space="0" w:color="auto"/>
            </w:tcBorders>
          </w:tcPr>
          <w:p w14:paraId="1B9F6775" w14:textId="77777777" w:rsidR="00B200FD" w:rsidRDefault="00B200FD">
            <w:pPr>
              <w:pStyle w:val="ListParagraph"/>
              <w:ind w:left="0"/>
              <w:rPr>
                <w:u w:val="single"/>
              </w:rPr>
            </w:pPr>
            <w:r>
              <w:rPr>
                <w:u w:val="single"/>
              </w:rPr>
              <w:lastRenderedPageBreak/>
              <w:t>Is it properly funded and/or does it contain sufficient incentives to drive the transition?</w:t>
            </w:r>
          </w:p>
          <w:p w14:paraId="4D50ADF3" w14:textId="77777777" w:rsidR="00B200FD" w:rsidRDefault="00B200FD">
            <w:pPr>
              <w:pStyle w:val="ListParagraph"/>
              <w:ind w:left="0"/>
            </w:pPr>
          </w:p>
          <w:p w14:paraId="2B2E10D4" w14:textId="77777777" w:rsidR="00B200FD" w:rsidRDefault="00B200FD">
            <w:pPr>
              <w:pStyle w:val="ListParagraph"/>
              <w:ind w:left="0"/>
            </w:pPr>
            <w:r>
              <w:t xml:space="preserve">The strategy extends funding out to 2025 for existing programmes targeting the Home Upgrade Scheme (£950 million) and the Social Housing Decarbonisation Fund (£800 million), each over three years. These cover energy efficiency and heat. </w:t>
            </w:r>
          </w:p>
          <w:p w14:paraId="21486EC8" w14:textId="77777777" w:rsidR="00B200FD" w:rsidRDefault="00B200FD">
            <w:pPr>
              <w:pStyle w:val="ListParagraph"/>
              <w:ind w:left="0"/>
            </w:pPr>
          </w:p>
          <w:p w14:paraId="72CEB95B" w14:textId="77777777" w:rsidR="00B200FD" w:rsidRDefault="00B200FD">
            <w:pPr>
              <w:pStyle w:val="ListParagraph"/>
              <w:ind w:left="0"/>
            </w:pPr>
            <w:r>
              <w:t>It includes a small increase in the funding pot for heat pumps - £450 million over three years, with grants of £5,000 for air source or £6,000 for ground source heat pumps.</w:t>
            </w:r>
          </w:p>
          <w:p w14:paraId="7FA9DBEE" w14:textId="77777777" w:rsidR="00B200FD" w:rsidRDefault="00B200FD">
            <w:pPr>
              <w:pStyle w:val="ListParagraph"/>
              <w:ind w:left="0"/>
            </w:pPr>
          </w:p>
          <w:p w14:paraId="32672DAD" w14:textId="77777777" w:rsidR="00B200FD" w:rsidRDefault="00B200FD">
            <w:pPr>
              <w:pStyle w:val="ListParagraph"/>
              <w:ind w:left="0"/>
            </w:pPr>
            <w:r>
              <w:t xml:space="preserve">A £270 million Green Heat Network Fund will run from 2022-25, to support new and existing heat networks. The Government expects around £1 billion of additional investment will be leveraged by proposals for heat zoning. In CCC pathways, £4.9 billion is required for heat networks from 2022-25, indicating a funding gap even if the Government’s expected levels of public and private investment occur. </w:t>
            </w:r>
          </w:p>
          <w:p w14:paraId="3B501533" w14:textId="77777777" w:rsidR="00B200FD" w:rsidRDefault="00B200FD">
            <w:pPr>
              <w:pStyle w:val="ListParagraph"/>
              <w:ind w:left="0"/>
            </w:pPr>
          </w:p>
          <w:p w14:paraId="0A4A06B8" w14:textId="77777777" w:rsidR="00B200FD" w:rsidRDefault="00B200FD">
            <w:pPr>
              <w:pStyle w:val="ListParagraph"/>
              <w:ind w:left="0"/>
            </w:pPr>
            <w:r>
              <w:t xml:space="preserve">For public sector building decarbonisation 2022-25, £1.9 billion investment is needed for heat pumps and energy efficiency, rising to £2.6 billion if heat networks </w:t>
            </w:r>
            <w:r>
              <w:lastRenderedPageBreak/>
              <w:t>investment is included. The Government has committed a little over £1.4 billion over the period 2022-25, through the public sector decarbonisation scheme. Depending what proportion of the additional £338 million committed to heat networks funding is directed to the public sector, this leaves a public sector funding gap of between £ 0.9-1.2 billion.</w:t>
            </w:r>
          </w:p>
          <w:p w14:paraId="54F0755E" w14:textId="77777777" w:rsidR="00B200FD" w:rsidRDefault="00B200FD">
            <w:pPr>
              <w:pStyle w:val="ListParagraph"/>
              <w:ind w:left="0"/>
            </w:pPr>
          </w:p>
        </w:tc>
        <w:tc>
          <w:tcPr>
            <w:tcW w:w="3186" w:type="dxa"/>
            <w:tcBorders>
              <w:top w:val="single" w:sz="4" w:space="0" w:color="auto"/>
              <w:left w:val="single" w:sz="4" w:space="0" w:color="auto"/>
              <w:bottom w:val="single" w:sz="4" w:space="0" w:color="auto"/>
              <w:right w:val="single" w:sz="4" w:space="0" w:color="auto"/>
            </w:tcBorders>
          </w:tcPr>
          <w:p w14:paraId="4F6F4BF0" w14:textId="403B2B0C" w:rsidR="00B200FD" w:rsidRDefault="00B200FD">
            <w:pPr>
              <w:pStyle w:val="ListParagraph"/>
              <w:ind w:left="0"/>
            </w:pPr>
          </w:p>
          <w:p w14:paraId="7B4809D0" w14:textId="65DCEBE8" w:rsidR="00B200FD" w:rsidRDefault="00B200FD" w:rsidP="76B64403">
            <w:pPr>
              <w:pStyle w:val="ListParagraph"/>
              <w:ind w:left="0"/>
              <w:rPr>
                <w:rFonts w:eastAsia="Calibri"/>
              </w:rPr>
            </w:pPr>
          </w:p>
          <w:p w14:paraId="49035449" w14:textId="253420D4" w:rsidR="00B200FD" w:rsidRDefault="00B200FD" w:rsidP="76B64403">
            <w:pPr>
              <w:pStyle w:val="ListParagraph"/>
              <w:ind w:left="0"/>
              <w:rPr>
                <w:rFonts w:eastAsia="Calibri"/>
              </w:rPr>
            </w:pPr>
          </w:p>
          <w:p w14:paraId="2FADC1A2" w14:textId="5CEDD2F9" w:rsidR="00B200FD" w:rsidRDefault="519D6257" w:rsidP="76B64403">
            <w:pPr>
              <w:pStyle w:val="ListParagraph"/>
              <w:ind w:left="0"/>
              <w:rPr>
                <w:rFonts w:eastAsia="Calibri"/>
              </w:rPr>
            </w:pPr>
            <w:r w:rsidRPr="76B64403">
              <w:rPr>
                <w:rFonts w:eastAsia="Calibri"/>
              </w:rPr>
              <w:t>Continue to call for further grant funding.</w:t>
            </w:r>
          </w:p>
          <w:p w14:paraId="3F6C4557" w14:textId="7F9DB17A" w:rsidR="00B200FD" w:rsidRDefault="00B200FD" w:rsidP="76B64403">
            <w:pPr>
              <w:pStyle w:val="ListParagraph"/>
              <w:ind w:left="0"/>
              <w:rPr>
                <w:rFonts w:eastAsia="Calibri"/>
              </w:rPr>
            </w:pPr>
          </w:p>
          <w:p w14:paraId="550C4649" w14:textId="4BA87B4D" w:rsidR="00B200FD" w:rsidRDefault="00B200FD" w:rsidP="76B64403">
            <w:pPr>
              <w:pStyle w:val="ListParagraph"/>
              <w:ind w:left="0"/>
              <w:rPr>
                <w:rFonts w:eastAsia="Calibri"/>
              </w:rPr>
            </w:pPr>
          </w:p>
          <w:p w14:paraId="16D67525" w14:textId="043D4C7B" w:rsidR="00B200FD" w:rsidRDefault="00B200FD" w:rsidP="76B64403">
            <w:pPr>
              <w:pStyle w:val="ListParagraph"/>
              <w:ind w:left="0"/>
              <w:rPr>
                <w:rFonts w:eastAsia="Calibri"/>
              </w:rPr>
            </w:pPr>
          </w:p>
          <w:p w14:paraId="3CE3F3B3" w14:textId="71D23DBB" w:rsidR="00B200FD" w:rsidRDefault="00B200FD" w:rsidP="76B64403">
            <w:pPr>
              <w:pStyle w:val="ListParagraph"/>
              <w:ind w:left="0"/>
              <w:rPr>
                <w:rFonts w:eastAsia="Calibri"/>
              </w:rPr>
            </w:pPr>
          </w:p>
          <w:p w14:paraId="6CD8A7AE" w14:textId="09940999" w:rsidR="00B200FD" w:rsidRDefault="37566B54" w:rsidP="76B64403">
            <w:pPr>
              <w:pStyle w:val="ListParagraph"/>
              <w:ind w:left="0"/>
              <w:rPr>
                <w:rFonts w:eastAsia="Calibri"/>
              </w:rPr>
            </w:pPr>
            <w:r w:rsidRPr="76B64403">
              <w:rPr>
                <w:rFonts w:eastAsia="Calibri"/>
              </w:rPr>
              <w:t>Clarity on role for councils, if any, in supporting positive take up of heat pumps within communities leading to wider green job benef</w:t>
            </w:r>
            <w:r w:rsidR="02444B2C" w:rsidRPr="76B64403">
              <w:rPr>
                <w:rFonts w:eastAsia="Calibri"/>
              </w:rPr>
              <w:t>its.</w:t>
            </w:r>
          </w:p>
          <w:p w14:paraId="3B595EC3" w14:textId="15564B8B" w:rsidR="00B200FD" w:rsidRDefault="02444B2C" w:rsidP="76B64403">
            <w:pPr>
              <w:pStyle w:val="ListParagraph"/>
              <w:ind w:left="0"/>
              <w:rPr>
                <w:rFonts w:eastAsia="Calibri"/>
              </w:rPr>
            </w:pPr>
            <w:r w:rsidRPr="76B64403">
              <w:rPr>
                <w:rFonts w:eastAsia="Calibri"/>
              </w:rPr>
              <w:t>Potential role of councils to help encourage private sector investment, leveraged through sufficient public sector</w:t>
            </w:r>
            <w:r w:rsidR="5E5C5605" w:rsidRPr="76B64403">
              <w:rPr>
                <w:rFonts w:eastAsia="Calibri"/>
              </w:rPr>
              <w:t xml:space="preserve"> policy and investment commitments</w:t>
            </w:r>
            <w:r w:rsidRPr="76B64403">
              <w:rPr>
                <w:rFonts w:eastAsia="Calibri"/>
              </w:rPr>
              <w:t>.</w:t>
            </w:r>
          </w:p>
          <w:p w14:paraId="62190FDB" w14:textId="6D505537" w:rsidR="00B200FD" w:rsidRDefault="00B200FD" w:rsidP="76B64403">
            <w:pPr>
              <w:pStyle w:val="ListParagraph"/>
              <w:ind w:left="0"/>
              <w:rPr>
                <w:rFonts w:eastAsia="Calibri"/>
              </w:rPr>
            </w:pPr>
          </w:p>
          <w:p w14:paraId="557140BF" w14:textId="21261E23" w:rsidR="00B200FD" w:rsidRDefault="00B200FD" w:rsidP="76B64403">
            <w:pPr>
              <w:pStyle w:val="ListParagraph"/>
              <w:ind w:left="0"/>
              <w:rPr>
                <w:rFonts w:eastAsia="Calibri"/>
              </w:rPr>
            </w:pPr>
          </w:p>
          <w:p w14:paraId="73B98E2B" w14:textId="77B1EA56" w:rsidR="00B200FD" w:rsidRDefault="00B200FD" w:rsidP="76B64403">
            <w:pPr>
              <w:pStyle w:val="ListParagraph"/>
              <w:ind w:left="0"/>
              <w:rPr>
                <w:rFonts w:eastAsia="Calibri"/>
              </w:rPr>
            </w:pPr>
          </w:p>
          <w:p w14:paraId="27D37DA7" w14:textId="5924CE13" w:rsidR="00B200FD" w:rsidRDefault="566F4428" w:rsidP="76B64403">
            <w:pPr>
              <w:pStyle w:val="ListParagraph"/>
              <w:ind w:left="0"/>
              <w:rPr>
                <w:rFonts w:eastAsia="Calibri"/>
              </w:rPr>
            </w:pPr>
            <w:r w:rsidRPr="76B64403">
              <w:rPr>
                <w:rFonts w:eastAsia="Calibri"/>
              </w:rPr>
              <w:t>Press for further investment in public sector</w:t>
            </w:r>
            <w:r w:rsidR="247D7A06" w:rsidRPr="76B64403">
              <w:rPr>
                <w:rFonts w:eastAsia="Calibri"/>
              </w:rPr>
              <w:t xml:space="preserve"> de-carbonisation.</w:t>
            </w:r>
          </w:p>
        </w:tc>
      </w:tr>
      <w:tr w:rsidR="00B200FD" w14:paraId="5D6E3CC0" w14:textId="77777777" w:rsidTr="7929812A">
        <w:tc>
          <w:tcPr>
            <w:tcW w:w="5835" w:type="dxa"/>
            <w:tcBorders>
              <w:top w:val="single" w:sz="4" w:space="0" w:color="auto"/>
              <w:left w:val="single" w:sz="4" w:space="0" w:color="auto"/>
              <w:bottom w:val="single" w:sz="4" w:space="0" w:color="auto"/>
              <w:right w:val="single" w:sz="4" w:space="0" w:color="auto"/>
            </w:tcBorders>
          </w:tcPr>
          <w:p w14:paraId="3F81F40A" w14:textId="77777777" w:rsidR="00B200FD" w:rsidRDefault="00B200FD">
            <w:pPr>
              <w:pStyle w:val="ListParagraph"/>
              <w:ind w:left="0"/>
              <w:rPr>
                <w:u w:val="single"/>
              </w:rPr>
            </w:pPr>
            <w:r>
              <w:rPr>
                <w:u w:val="single"/>
              </w:rPr>
              <w:t>What important areas remain to be resolved?</w:t>
            </w:r>
          </w:p>
          <w:p w14:paraId="777C0AF5" w14:textId="77777777" w:rsidR="00B200FD" w:rsidRDefault="00B200FD">
            <w:pPr>
              <w:pStyle w:val="ListParagraph"/>
              <w:ind w:left="0"/>
            </w:pPr>
          </w:p>
          <w:p w14:paraId="6CBD4559" w14:textId="77777777" w:rsidR="00B200FD" w:rsidRDefault="00B200FD">
            <w:pPr>
              <w:pStyle w:val="ListParagraph"/>
              <w:ind w:left="0"/>
            </w:pPr>
            <w:r>
              <w:t>There is a major gap on policy to deliver the EPC C target, specifically for owner-occupied properties. This affects 60% of homes. Proposed targets for mortgage lenders are voluntary (though with potential to make mandatory if they progress well), and only capture properties at the point of purchase, renovation, and re-mortgage.</w:t>
            </w:r>
          </w:p>
          <w:p w14:paraId="341A5A59" w14:textId="77777777" w:rsidR="00B200FD" w:rsidRDefault="00B200FD">
            <w:pPr>
              <w:pStyle w:val="ListParagraph"/>
              <w:ind w:left="0"/>
            </w:pPr>
          </w:p>
          <w:p w14:paraId="7208DB46" w14:textId="77777777" w:rsidR="00B200FD" w:rsidRDefault="00B200FD">
            <w:pPr>
              <w:pStyle w:val="ListParagraph"/>
              <w:ind w:left="0"/>
            </w:pPr>
            <w:r>
              <w:t xml:space="preserve">The transition to low-carbon heating in commercial buildings currently relies on EPC requirements in 2030, and disclosure of in-use performance for large commercial buildings. This needs to be addressed, potentially through an earlier phase-out date for installing gas boilers in non-domestic buildings. </w:t>
            </w:r>
          </w:p>
          <w:p w14:paraId="58D10F8E" w14:textId="77777777" w:rsidR="00B200FD" w:rsidRDefault="00B200FD">
            <w:pPr>
              <w:pStyle w:val="ListParagraph"/>
              <w:ind w:left="0"/>
            </w:pPr>
          </w:p>
          <w:p w14:paraId="674E8FA1" w14:textId="77777777" w:rsidR="00B200FD" w:rsidRDefault="00B200FD">
            <w:pPr>
              <w:pStyle w:val="ListParagraph"/>
              <w:ind w:left="0"/>
            </w:pPr>
            <w:r>
              <w:t>The effect of increased demand for electricity on generation and transmission remains an unresolved risk. The strategy proposes ongoing collaboration between BEIS, Ofgem and Distribution Network Operators (DNOs) to collect and share data on the impact of heating assets on the electricity networks. However specific plans for strategic investment in electricity networks are not expected until later this year.</w:t>
            </w:r>
          </w:p>
          <w:p w14:paraId="4BE8F38C" w14:textId="77777777" w:rsidR="00B200FD" w:rsidRDefault="00B200FD">
            <w:pPr>
              <w:pStyle w:val="ListParagraph"/>
              <w:ind w:left="0"/>
            </w:pPr>
          </w:p>
        </w:tc>
        <w:tc>
          <w:tcPr>
            <w:tcW w:w="3186" w:type="dxa"/>
            <w:tcBorders>
              <w:top w:val="single" w:sz="4" w:space="0" w:color="auto"/>
              <w:left w:val="single" w:sz="4" w:space="0" w:color="auto"/>
              <w:bottom w:val="single" w:sz="4" w:space="0" w:color="auto"/>
              <w:right w:val="single" w:sz="4" w:space="0" w:color="auto"/>
            </w:tcBorders>
          </w:tcPr>
          <w:p w14:paraId="032F301B" w14:textId="2C6B32E4" w:rsidR="00B200FD" w:rsidRDefault="00B200FD">
            <w:pPr>
              <w:pStyle w:val="ListParagraph"/>
              <w:ind w:left="0"/>
            </w:pPr>
          </w:p>
          <w:p w14:paraId="65D462A5" w14:textId="61EDBA4E" w:rsidR="00B200FD" w:rsidRDefault="00B200FD" w:rsidP="76B64403">
            <w:pPr>
              <w:pStyle w:val="ListParagraph"/>
              <w:ind w:left="0"/>
              <w:rPr>
                <w:rFonts w:eastAsia="Calibri"/>
              </w:rPr>
            </w:pPr>
          </w:p>
          <w:p w14:paraId="25B96FAA" w14:textId="6AF1B360" w:rsidR="00B200FD" w:rsidRDefault="03CFEC9F" w:rsidP="76B64403">
            <w:pPr>
              <w:pStyle w:val="ListParagraph"/>
              <w:ind w:left="0"/>
              <w:rPr>
                <w:rFonts w:eastAsia="Calibri"/>
              </w:rPr>
            </w:pPr>
            <w:r w:rsidRPr="76B64403">
              <w:rPr>
                <w:rFonts w:eastAsia="Calibri"/>
              </w:rPr>
              <w:t>Press for further investment in retrofit across all tenures, including potential role for councils engaging PRS landlords and owner-occupiers</w:t>
            </w:r>
            <w:r w:rsidR="75D1F041" w:rsidRPr="76B64403">
              <w:rPr>
                <w:rFonts w:eastAsia="Calibri"/>
              </w:rPr>
              <w:t>.</w:t>
            </w:r>
          </w:p>
          <w:p w14:paraId="64060AD0" w14:textId="7817E39B" w:rsidR="00B200FD" w:rsidRDefault="00B200FD" w:rsidP="76B64403">
            <w:pPr>
              <w:pStyle w:val="ListParagraph"/>
              <w:ind w:left="0"/>
              <w:rPr>
                <w:rFonts w:eastAsia="Calibri"/>
              </w:rPr>
            </w:pPr>
          </w:p>
          <w:p w14:paraId="2A801E2F" w14:textId="4D2A61C8" w:rsidR="00B200FD" w:rsidRDefault="00B200FD" w:rsidP="76B64403">
            <w:pPr>
              <w:pStyle w:val="ListParagraph"/>
              <w:ind w:left="0"/>
              <w:rPr>
                <w:rFonts w:eastAsia="Calibri"/>
              </w:rPr>
            </w:pPr>
          </w:p>
          <w:p w14:paraId="42D41674" w14:textId="7AD78D5F" w:rsidR="00B200FD" w:rsidRDefault="75D1F041" w:rsidP="76B64403">
            <w:pPr>
              <w:pStyle w:val="ListParagraph"/>
              <w:ind w:left="0"/>
              <w:rPr>
                <w:rFonts w:eastAsia="Calibri"/>
              </w:rPr>
            </w:pPr>
            <w:r w:rsidRPr="76B64403">
              <w:rPr>
                <w:rFonts w:eastAsia="Calibri"/>
              </w:rPr>
              <w:t>Clarity on expectations of councils in enforcing EPC requirements</w:t>
            </w:r>
          </w:p>
        </w:tc>
      </w:tr>
    </w:tbl>
    <w:p w14:paraId="7AC4C244" w14:textId="77777777" w:rsidR="00B200FD" w:rsidRDefault="00B200FD" w:rsidP="00B200FD">
      <w:pPr>
        <w:pStyle w:val="ListParagraph"/>
        <w:rPr>
          <w:b/>
          <w:bCs/>
        </w:rPr>
      </w:pPr>
    </w:p>
    <w:p w14:paraId="695DA1E9" w14:textId="77777777" w:rsidR="00B200FD" w:rsidRDefault="00B200FD" w:rsidP="00B200FD">
      <w:pPr>
        <w:pStyle w:val="ListParagraph"/>
        <w:rPr>
          <w:b/>
          <w:bCs/>
        </w:rPr>
      </w:pPr>
    </w:p>
    <w:p w14:paraId="4819678C" w14:textId="77777777" w:rsidR="00B200FD" w:rsidRDefault="4CE7A90D" w:rsidP="00670B2C">
      <w:r w:rsidRPr="00670B2C">
        <w:rPr>
          <w:b/>
          <w:bCs/>
        </w:rPr>
        <w:t>LGA sector-led improvement</w:t>
      </w:r>
    </w:p>
    <w:p w14:paraId="11A64206" w14:textId="77777777" w:rsidR="00B200FD" w:rsidRDefault="00B200FD" w:rsidP="00B200FD">
      <w:pPr>
        <w:pStyle w:val="ListParagraph"/>
      </w:pPr>
    </w:p>
    <w:p w14:paraId="323FA3B1" w14:textId="77777777" w:rsidR="00B200FD" w:rsidRDefault="4CE7A90D" w:rsidP="00B200FD">
      <w:pPr>
        <w:pStyle w:val="ListParagraph"/>
        <w:numPr>
          <w:ilvl w:val="0"/>
          <w:numId w:val="2"/>
        </w:numPr>
      </w:pPr>
      <w:r>
        <w:t>The LGA has ran a series of very popular and well received support offers helping councils on the climate change agenda in their areas. Following the publication of the Net Zero Strategy, the Boards views are welcome on important features of future support offers on this issue.</w:t>
      </w:r>
    </w:p>
    <w:p w14:paraId="4E778A07" w14:textId="77777777" w:rsidR="00B200FD" w:rsidRDefault="00B200FD" w:rsidP="00B200FD">
      <w:pPr>
        <w:pStyle w:val="ListParagraph"/>
      </w:pPr>
    </w:p>
    <w:p w14:paraId="5AF70861" w14:textId="77777777" w:rsidR="00B200FD" w:rsidRDefault="4CE7A90D" w:rsidP="00B200FD">
      <w:pPr>
        <w:pStyle w:val="ListParagraph"/>
        <w:numPr>
          <w:ilvl w:val="0"/>
          <w:numId w:val="2"/>
        </w:numPr>
      </w:pPr>
      <w:r>
        <w:t xml:space="preserve"> For information, the current offer includes:</w:t>
      </w:r>
    </w:p>
    <w:p w14:paraId="52096946" w14:textId="77777777" w:rsidR="00B200FD" w:rsidRDefault="00B200FD" w:rsidP="00B200FD">
      <w:pPr>
        <w:pStyle w:val="ListParagraph"/>
      </w:pPr>
    </w:p>
    <w:p w14:paraId="22F051D6" w14:textId="77777777" w:rsidR="003D6134" w:rsidRDefault="4CE7A90D" w:rsidP="003D6134">
      <w:pPr>
        <w:pStyle w:val="ListParagraph"/>
        <w:numPr>
          <w:ilvl w:val="1"/>
          <w:numId w:val="8"/>
        </w:numPr>
        <w:spacing w:before="120"/>
        <w:ind w:left="1139" w:hanging="714"/>
      </w:pPr>
      <w:r>
        <w:t>Promote use of the LGA Greenhouse Gas Accounting Tool, developed collaboratively with Local Partnerships, to provide a consistent approach for all councils seeking to calculate their own greenhouse gas baseline.</w:t>
      </w:r>
    </w:p>
    <w:p w14:paraId="11271D90" w14:textId="77777777" w:rsidR="003D6134" w:rsidRDefault="4CE7A90D" w:rsidP="003D6134">
      <w:pPr>
        <w:pStyle w:val="ListParagraph"/>
        <w:numPr>
          <w:ilvl w:val="1"/>
          <w:numId w:val="8"/>
        </w:numPr>
        <w:spacing w:before="120"/>
        <w:ind w:left="1139" w:hanging="714"/>
      </w:pPr>
      <w:r>
        <w:lastRenderedPageBreak/>
        <w:t>Deliver the Net Zero Innovation Programme, in collaboration with UCL and other universities, to support councils to achieve their carbon reduction goals</w:t>
      </w:r>
      <w:r w:rsidR="10E57E04">
        <w:t>,</w:t>
      </w:r>
      <w:r>
        <w:t xml:space="preserve"> and delivering further training through a train the trainer model</w:t>
      </w:r>
      <w:r w:rsidR="2F0324F9">
        <w:t>.</w:t>
      </w:r>
    </w:p>
    <w:p w14:paraId="2230E15B" w14:textId="77777777" w:rsidR="003D6134" w:rsidRPr="003D6134" w:rsidRDefault="40955739" w:rsidP="003D6134">
      <w:pPr>
        <w:pStyle w:val="ListParagraph"/>
        <w:numPr>
          <w:ilvl w:val="1"/>
          <w:numId w:val="8"/>
        </w:numPr>
        <w:spacing w:before="120"/>
        <w:ind w:left="1139" w:hanging="714"/>
      </w:pPr>
      <w:r w:rsidRPr="003D6134">
        <w:rPr>
          <w:rFonts w:eastAsia="Calibri"/>
        </w:rPr>
        <w:t>Promote</w:t>
      </w:r>
      <w:r w:rsidR="0166F4BE" w:rsidRPr="003D6134">
        <w:rPr>
          <w:rFonts w:eastAsia="Calibri"/>
        </w:rPr>
        <w:t xml:space="preserve"> The</w:t>
      </w:r>
      <w:r w:rsidRPr="003D6134">
        <w:rPr>
          <w:rFonts w:eastAsia="Calibri"/>
        </w:rPr>
        <w:t xml:space="preserve"> Local Pathway to Net Zero Councillor guide.</w:t>
      </w:r>
    </w:p>
    <w:p w14:paraId="726F54D3" w14:textId="77777777" w:rsidR="003D6134" w:rsidRDefault="4CE7A90D" w:rsidP="003D6134">
      <w:pPr>
        <w:pStyle w:val="ListParagraph"/>
        <w:numPr>
          <w:ilvl w:val="1"/>
          <w:numId w:val="8"/>
        </w:numPr>
        <w:spacing w:before="120"/>
        <w:ind w:left="1139" w:hanging="714"/>
      </w:pPr>
      <w:r>
        <w:t xml:space="preserve">Deliver a series of green webinars. </w:t>
      </w:r>
    </w:p>
    <w:p w14:paraId="6372FB91" w14:textId="77777777" w:rsidR="003D6134" w:rsidRPr="003D6134" w:rsidRDefault="3CA15590" w:rsidP="003D6134">
      <w:pPr>
        <w:pStyle w:val="ListParagraph"/>
        <w:numPr>
          <w:ilvl w:val="1"/>
          <w:numId w:val="8"/>
        </w:numPr>
        <w:spacing w:before="120"/>
        <w:ind w:left="1139" w:hanging="714"/>
      </w:pPr>
      <w:r w:rsidRPr="003D6134">
        <w:rPr>
          <w:rFonts w:eastAsia="Calibri"/>
        </w:rPr>
        <w:t>Deliver a series of action learning sets to help Councillors and officers</w:t>
      </w:r>
      <w:r w:rsidR="7B45C2C6" w:rsidRPr="003D6134">
        <w:rPr>
          <w:rFonts w:eastAsia="Calibri"/>
        </w:rPr>
        <w:t xml:space="preserve"> to</w:t>
      </w:r>
      <w:r w:rsidRPr="003D6134">
        <w:rPr>
          <w:rFonts w:eastAsia="Calibri"/>
        </w:rPr>
        <w:t xml:space="preserve"> build housing retrofit skills in local communities.</w:t>
      </w:r>
    </w:p>
    <w:p w14:paraId="19F7673D" w14:textId="77777777" w:rsidR="003D6134" w:rsidRPr="003D6134" w:rsidRDefault="3CA15590" w:rsidP="003D6134">
      <w:pPr>
        <w:pStyle w:val="ListParagraph"/>
        <w:numPr>
          <w:ilvl w:val="1"/>
          <w:numId w:val="8"/>
        </w:numPr>
        <w:spacing w:before="120"/>
        <w:ind w:left="1139" w:hanging="714"/>
      </w:pPr>
      <w:r w:rsidRPr="003D6134">
        <w:rPr>
          <w:rFonts w:eastAsia="Calibri"/>
        </w:rPr>
        <w:t>Promote the LGA biodiversity e learning.</w:t>
      </w:r>
    </w:p>
    <w:p w14:paraId="3778D3D3" w14:textId="77777777" w:rsidR="003D6134" w:rsidRPr="003D6134" w:rsidRDefault="3CA15590" w:rsidP="003D6134">
      <w:pPr>
        <w:pStyle w:val="ListParagraph"/>
        <w:numPr>
          <w:ilvl w:val="1"/>
          <w:numId w:val="8"/>
        </w:numPr>
        <w:spacing w:before="120"/>
        <w:ind w:left="1139" w:hanging="714"/>
      </w:pPr>
      <w:r w:rsidRPr="003D6134">
        <w:rPr>
          <w:rFonts w:eastAsia="Calibri"/>
        </w:rPr>
        <w:t>Promote the LGA podcast: ‘Local Action for our Environment’ which focu</w:t>
      </w:r>
      <w:r w:rsidR="477A4A38" w:rsidRPr="003D6134">
        <w:rPr>
          <w:rFonts w:eastAsia="Calibri"/>
        </w:rPr>
        <w:t>s</w:t>
      </w:r>
      <w:r w:rsidRPr="003D6134">
        <w:rPr>
          <w:rFonts w:eastAsia="Calibri"/>
        </w:rPr>
        <w:t>ses on local community engagement and climate action.</w:t>
      </w:r>
    </w:p>
    <w:p w14:paraId="6107B66D" w14:textId="77777777" w:rsidR="003D6134" w:rsidRPr="003D6134" w:rsidRDefault="3CA15590" w:rsidP="003D6134">
      <w:pPr>
        <w:pStyle w:val="ListParagraph"/>
        <w:numPr>
          <w:ilvl w:val="1"/>
          <w:numId w:val="8"/>
        </w:numPr>
        <w:spacing w:before="120"/>
        <w:ind w:left="1139" w:hanging="714"/>
      </w:pPr>
      <w:r w:rsidRPr="003D6134">
        <w:rPr>
          <w:rFonts w:eastAsia="Calibri"/>
        </w:rPr>
        <w:t>Promote the LGA Sustainable Procurement toolkit.</w:t>
      </w:r>
    </w:p>
    <w:p w14:paraId="1BDB04D1" w14:textId="77777777" w:rsidR="003D6134" w:rsidRDefault="3CA15590" w:rsidP="003D6134">
      <w:pPr>
        <w:pStyle w:val="ListParagraph"/>
        <w:numPr>
          <w:ilvl w:val="1"/>
          <w:numId w:val="8"/>
        </w:numPr>
        <w:spacing w:before="120"/>
        <w:ind w:left="1139" w:hanging="714"/>
      </w:pPr>
      <w:r>
        <w:t xml:space="preserve">Deliver Leadership Essentials: Climate Emergency. </w:t>
      </w:r>
    </w:p>
    <w:p w14:paraId="37AC79D1" w14:textId="5254D778" w:rsidR="00B200FD" w:rsidRDefault="7037F09C" w:rsidP="003D6134">
      <w:pPr>
        <w:pStyle w:val="ListParagraph"/>
        <w:numPr>
          <w:ilvl w:val="1"/>
          <w:numId w:val="8"/>
        </w:numPr>
        <w:spacing w:before="120"/>
        <w:ind w:left="1139" w:hanging="714"/>
      </w:pPr>
      <w:r>
        <w:t>Share</w:t>
      </w:r>
      <w:r w:rsidR="4CE7A90D">
        <w:t xml:space="preserve"> resources</w:t>
      </w:r>
      <w:r w:rsidR="718605F0">
        <w:t xml:space="preserve"> widely including</w:t>
      </w:r>
      <w:r w:rsidR="4CE7A90D">
        <w:t xml:space="preserve"> case studies and best practice,</w:t>
      </w:r>
      <w:r w:rsidR="1C635153">
        <w:t xml:space="preserve"> through</w:t>
      </w:r>
      <w:r w:rsidR="4CE7A90D">
        <w:t xml:space="preserve"> </w:t>
      </w:r>
      <w:r w:rsidR="3863C809">
        <w:t>the LGA climate change e-</w:t>
      </w:r>
      <w:r w:rsidR="4CE7A90D">
        <w:t xml:space="preserve">bulletin, Knowledge Hub, and </w:t>
      </w:r>
      <w:hyperlink r:id="rId11">
        <w:r w:rsidR="4CE7A90D" w:rsidRPr="695BD78B">
          <w:rPr>
            <w:rStyle w:val="Hyperlink"/>
          </w:rPr>
          <w:t>LGA Web hub</w:t>
        </w:r>
      </w:hyperlink>
      <w:r w:rsidR="4CE7A90D">
        <w:t>.</w:t>
      </w:r>
    </w:p>
    <w:p w14:paraId="654B6A2E" w14:textId="77777777" w:rsidR="0049642D" w:rsidRPr="00891AE9" w:rsidRDefault="0049642D">
      <w:pPr>
        <w:rPr>
          <w:rFonts w:cs="Arial"/>
        </w:rPr>
      </w:pPr>
    </w:p>
    <w:sectPr w:rsidR="0049642D" w:rsidRPr="00891AE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FFE49" w14:textId="77777777" w:rsidR="0049642D" w:rsidRDefault="0049642D">
      <w:r>
        <w:separator/>
      </w:r>
    </w:p>
  </w:endnote>
  <w:endnote w:type="continuationSeparator" w:id="0">
    <w:p w14:paraId="7F9F3F38" w14:textId="77777777" w:rsidR="0049642D" w:rsidRDefault="0049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BAEF8" w14:textId="466BDE16" w:rsidR="76B64403" w:rsidRDefault="76B64403">
      <w:r>
        <w:separator/>
      </w:r>
    </w:p>
  </w:footnote>
  <w:footnote w:type="continuationSeparator" w:id="0">
    <w:p w14:paraId="18188E7A" w14:textId="5F2B2CB2" w:rsidR="76B64403" w:rsidRDefault="76B64403">
      <w:r>
        <w:continuationSeparator/>
      </w:r>
    </w:p>
  </w:footnote>
  <w:footnote w:id="1">
    <w:p w14:paraId="09AA0F3A" w14:textId="7A6825DB" w:rsidR="76B64403" w:rsidRDefault="76B64403" w:rsidP="76B64403">
      <w:pPr>
        <w:pStyle w:val="FootnoteText"/>
      </w:pPr>
      <w:r w:rsidRPr="76B64403">
        <w:rPr>
          <w:rStyle w:val="FootnoteReference"/>
          <w:rFonts w:eastAsia="Calibri"/>
        </w:rPr>
        <w:footnoteRef/>
      </w:r>
      <w:r w:rsidRPr="76B64403">
        <w:rPr>
          <w:rFonts w:eastAsia="Calibri"/>
        </w:rPr>
        <w:t xml:space="preserve"> https://www.gov.uk/government/publications/net-zero-strategy</w:t>
      </w:r>
    </w:p>
  </w:footnote>
  <w:footnote w:id="2">
    <w:p w14:paraId="108A06FA" w14:textId="54519433" w:rsidR="76B64403" w:rsidRDefault="76B64403" w:rsidP="76B64403">
      <w:pPr>
        <w:pStyle w:val="FootnoteText"/>
      </w:pPr>
      <w:r w:rsidRPr="76B64403">
        <w:rPr>
          <w:rStyle w:val="FootnoteReference"/>
          <w:rFonts w:eastAsia="Calibri"/>
        </w:rPr>
        <w:footnoteRef/>
      </w:r>
      <w:r w:rsidRPr="76B64403">
        <w:rPr>
          <w:rFonts w:eastAsia="Calibri"/>
        </w:rPr>
        <w:t xml:space="preserve"> https://www.theccc.org.uk/publication/independent-assessment-the-uks-net-zero-strategy/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120CD" w14:textId="77777777" w:rsidR="004A3577" w:rsidRDefault="004A3577" w:rsidP="004A3577">
    <w:pPr>
      <w:pStyle w:val="Header"/>
    </w:pPr>
  </w:p>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A3577" w14:paraId="13AFD789" w14:textId="77777777" w:rsidTr="004A3577">
      <w:trPr>
        <w:trHeight w:val="416"/>
      </w:trPr>
      <w:tc>
        <w:tcPr>
          <w:tcW w:w="5812" w:type="dxa"/>
          <w:vMerge w:val="restart"/>
          <w:hideMark/>
        </w:tcPr>
        <w:p w14:paraId="0CF426A0" w14:textId="065ADBF8" w:rsidR="004A3577" w:rsidRDefault="004A3577" w:rsidP="004A3577">
          <w:r>
            <w:rPr>
              <w:noProof/>
              <w:lang w:val="en-US"/>
            </w:rPr>
            <w:drawing>
              <wp:inline distT="0" distB="0" distL="0" distR="0" wp14:anchorId="0C2D0B8F" wp14:editId="0C391EAF">
                <wp:extent cx="1428750" cy="8445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4550"/>
                        </a:xfrm>
                        <a:prstGeom prst="rect">
                          <a:avLst/>
                        </a:prstGeom>
                        <a:noFill/>
                        <a:ln>
                          <a:noFill/>
                        </a:ln>
                      </pic:spPr>
                    </pic:pic>
                  </a:graphicData>
                </a:graphic>
              </wp:inline>
            </w:drawing>
          </w:r>
        </w:p>
      </w:tc>
      <w:sdt>
        <w:sdtPr>
          <w:alias w:val="Board"/>
          <w:tag w:val="Board"/>
          <w:id w:val="416908834"/>
          <w:placeholder>
            <w:docPart w:val="EF5EAF62AB0E4443893CB8880797AFE0"/>
          </w:placeholder>
        </w:sdtPr>
        <w:sdtContent>
          <w:tc>
            <w:tcPr>
              <w:tcW w:w="4106" w:type="dxa"/>
            </w:tcPr>
            <w:p w14:paraId="0D7A8CEA" w14:textId="77777777" w:rsidR="004A3577" w:rsidRDefault="004A3577" w:rsidP="004A3577">
              <w:pPr>
                <w:rPr>
                  <w:b/>
                  <w:bCs/>
                </w:rPr>
              </w:pPr>
              <w:r>
                <w:rPr>
                  <w:b/>
                  <w:bCs/>
                </w:rPr>
                <w:t>Environment, Economy, Housing and Transport Board</w:t>
              </w:r>
            </w:p>
            <w:p w14:paraId="317C96BE" w14:textId="77777777" w:rsidR="004A3577" w:rsidRDefault="004A3577" w:rsidP="004A3577"/>
          </w:tc>
        </w:sdtContent>
      </w:sdt>
    </w:tr>
    <w:tr w:rsidR="004A3577" w14:paraId="3B77D9F7" w14:textId="77777777" w:rsidTr="004A3577">
      <w:trPr>
        <w:trHeight w:val="406"/>
      </w:trPr>
      <w:tc>
        <w:tcPr>
          <w:tcW w:w="0" w:type="auto"/>
          <w:vMerge/>
          <w:vAlign w:val="center"/>
          <w:hideMark/>
        </w:tcPr>
        <w:p w14:paraId="5BEC5472" w14:textId="77777777" w:rsidR="004A3577" w:rsidRDefault="004A3577" w:rsidP="004A3577"/>
      </w:tc>
      <w:tc>
        <w:tcPr>
          <w:tcW w:w="4106" w:type="dxa"/>
          <w:hideMark/>
        </w:tcPr>
        <w:sdt>
          <w:sdtPr>
            <w:alias w:val="Date"/>
            <w:tag w:val="Date"/>
            <w:id w:val="-488943452"/>
            <w:placeholder>
              <w:docPart w:val="290337F070BA4E628ADA2E1440A1EE6F"/>
            </w:placeholder>
            <w:date w:fullDate="2021-11-18T00:00:00Z">
              <w:dateFormat w:val="d MMMM yyyy"/>
              <w:lid w:val="en-GB"/>
              <w:storeMappedDataAs w:val="dateTime"/>
              <w:calendar w:val="gregorian"/>
            </w:date>
          </w:sdtPr>
          <w:sdtContent>
            <w:p w14:paraId="147083AA" w14:textId="77777777" w:rsidR="004A3577" w:rsidRDefault="004A3577" w:rsidP="004A3577">
              <w:r>
                <w:t>18 November 2021</w:t>
              </w:r>
            </w:p>
          </w:sdtContent>
        </w:sdt>
      </w:tc>
    </w:tr>
    <w:tr w:rsidR="004A3577" w14:paraId="5AB9CBA6" w14:textId="77777777" w:rsidTr="004A3577">
      <w:trPr>
        <w:trHeight w:val="89"/>
      </w:trPr>
      <w:tc>
        <w:tcPr>
          <w:tcW w:w="0" w:type="auto"/>
          <w:vMerge/>
          <w:vAlign w:val="center"/>
          <w:hideMark/>
        </w:tcPr>
        <w:p w14:paraId="7FF19DF6" w14:textId="77777777" w:rsidR="004A3577" w:rsidRDefault="004A3577" w:rsidP="004A3577"/>
      </w:tc>
      <w:tc>
        <w:tcPr>
          <w:tcW w:w="4106" w:type="dxa"/>
        </w:tcPr>
        <w:p w14:paraId="7345E046" w14:textId="77777777" w:rsidR="004A3577" w:rsidRDefault="004A3577" w:rsidP="004A3577"/>
      </w:tc>
    </w:tr>
  </w:tbl>
  <w:p w14:paraId="24C680A3" w14:textId="77777777" w:rsidR="004A3577" w:rsidRDefault="004A3577" w:rsidP="004A3577">
    <w:pPr>
      <w:pStyle w:val="Header"/>
    </w:pPr>
  </w:p>
  <w:p w14:paraId="7F40BA73" w14:textId="77777777" w:rsidR="004A3577" w:rsidRPr="004A3577" w:rsidRDefault="004A3577" w:rsidP="004A3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63705"/>
    <w:multiLevelType w:val="multilevel"/>
    <w:tmpl w:val="6630CBE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39CD1D46"/>
    <w:multiLevelType w:val="multilevel"/>
    <w:tmpl w:val="6A8A9B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463290C"/>
    <w:multiLevelType w:val="hybridMultilevel"/>
    <w:tmpl w:val="FFFFFFFF"/>
    <w:lvl w:ilvl="0" w:tplc="E85A72F0">
      <w:start w:val="1"/>
      <w:numFmt w:val="bullet"/>
      <w:lvlText w:val="-"/>
      <w:lvlJc w:val="left"/>
      <w:pPr>
        <w:ind w:left="720" w:hanging="360"/>
      </w:pPr>
      <w:rPr>
        <w:rFonts w:ascii="Calibri" w:hAnsi="Calibri" w:hint="default"/>
      </w:rPr>
    </w:lvl>
    <w:lvl w:ilvl="1" w:tplc="DC8C8C20">
      <w:start w:val="1"/>
      <w:numFmt w:val="bullet"/>
      <w:lvlText w:val="o"/>
      <w:lvlJc w:val="left"/>
      <w:pPr>
        <w:ind w:left="1440" w:hanging="360"/>
      </w:pPr>
      <w:rPr>
        <w:rFonts w:ascii="Courier New" w:hAnsi="Courier New" w:hint="default"/>
      </w:rPr>
    </w:lvl>
    <w:lvl w:ilvl="2" w:tplc="4A2CF220">
      <w:start w:val="1"/>
      <w:numFmt w:val="bullet"/>
      <w:lvlText w:val=""/>
      <w:lvlJc w:val="left"/>
      <w:pPr>
        <w:ind w:left="2160" w:hanging="360"/>
      </w:pPr>
      <w:rPr>
        <w:rFonts w:ascii="Wingdings" w:hAnsi="Wingdings" w:hint="default"/>
      </w:rPr>
    </w:lvl>
    <w:lvl w:ilvl="3" w:tplc="656AFC64">
      <w:start w:val="1"/>
      <w:numFmt w:val="bullet"/>
      <w:lvlText w:val=""/>
      <w:lvlJc w:val="left"/>
      <w:pPr>
        <w:ind w:left="2880" w:hanging="360"/>
      </w:pPr>
      <w:rPr>
        <w:rFonts w:ascii="Symbol" w:hAnsi="Symbol" w:hint="default"/>
      </w:rPr>
    </w:lvl>
    <w:lvl w:ilvl="4" w:tplc="142C5C12">
      <w:start w:val="1"/>
      <w:numFmt w:val="bullet"/>
      <w:lvlText w:val="o"/>
      <w:lvlJc w:val="left"/>
      <w:pPr>
        <w:ind w:left="3600" w:hanging="360"/>
      </w:pPr>
      <w:rPr>
        <w:rFonts w:ascii="Courier New" w:hAnsi="Courier New" w:hint="default"/>
      </w:rPr>
    </w:lvl>
    <w:lvl w:ilvl="5" w:tplc="A344D114">
      <w:start w:val="1"/>
      <w:numFmt w:val="bullet"/>
      <w:lvlText w:val=""/>
      <w:lvlJc w:val="left"/>
      <w:pPr>
        <w:ind w:left="4320" w:hanging="360"/>
      </w:pPr>
      <w:rPr>
        <w:rFonts w:ascii="Wingdings" w:hAnsi="Wingdings" w:hint="default"/>
      </w:rPr>
    </w:lvl>
    <w:lvl w:ilvl="6" w:tplc="A24A62A8">
      <w:start w:val="1"/>
      <w:numFmt w:val="bullet"/>
      <w:lvlText w:val=""/>
      <w:lvlJc w:val="left"/>
      <w:pPr>
        <w:ind w:left="5040" w:hanging="360"/>
      </w:pPr>
      <w:rPr>
        <w:rFonts w:ascii="Symbol" w:hAnsi="Symbol" w:hint="default"/>
      </w:rPr>
    </w:lvl>
    <w:lvl w:ilvl="7" w:tplc="590C9BF6">
      <w:start w:val="1"/>
      <w:numFmt w:val="bullet"/>
      <w:lvlText w:val="o"/>
      <w:lvlJc w:val="left"/>
      <w:pPr>
        <w:ind w:left="5760" w:hanging="360"/>
      </w:pPr>
      <w:rPr>
        <w:rFonts w:ascii="Courier New" w:hAnsi="Courier New" w:hint="default"/>
      </w:rPr>
    </w:lvl>
    <w:lvl w:ilvl="8" w:tplc="A498D266">
      <w:start w:val="1"/>
      <w:numFmt w:val="bullet"/>
      <w:lvlText w:val=""/>
      <w:lvlJc w:val="left"/>
      <w:pPr>
        <w:ind w:left="6480" w:hanging="360"/>
      </w:pPr>
      <w:rPr>
        <w:rFonts w:ascii="Wingdings" w:hAnsi="Wingdings" w:hint="default"/>
      </w:rPr>
    </w:lvl>
  </w:abstractNum>
  <w:abstractNum w:abstractNumId="3" w15:restartNumberingAfterBreak="0">
    <w:nsid w:val="58464A78"/>
    <w:multiLevelType w:val="multilevel"/>
    <w:tmpl w:val="347CF814"/>
    <w:lvl w:ilvl="0">
      <w:start w:val="1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7EA47F8"/>
    <w:multiLevelType w:val="hybridMultilevel"/>
    <w:tmpl w:val="865E2A8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68543BD8"/>
    <w:multiLevelType w:val="hybridMultilevel"/>
    <w:tmpl w:val="BA4807AC"/>
    <w:lvl w:ilvl="0" w:tplc="93AA4576">
      <w:start w:val="1"/>
      <w:numFmt w:val="decimal"/>
      <w:lvlText w:val="%1."/>
      <w:lvlJc w:val="left"/>
      <w:pPr>
        <w:ind w:left="360" w:hanging="360"/>
      </w:pPr>
      <w:rPr>
        <w:rFonts w:ascii="Arial" w:hAnsi="Arial" w:cs="Arial" w:hint="default"/>
      </w:rPr>
    </w:lvl>
    <w:lvl w:ilvl="1" w:tplc="78E6B58C">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74D97925"/>
    <w:multiLevelType w:val="multilevel"/>
    <w:tmpl w:val="9D94D5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FD"/>
    <w:rsid w:val="00167893"/>
    <w:rsid w:val="001B36CE"/>
    <w:rsid w:val="002D174F"/>
    <w:rsid w:val="003D6134"/>
    <w:rsid w:val="0040E552"/>
    <w:rsid w:val="00442183"/>
    <w:rsid w:val="0049642D"/>
    <w:rsid w:val="004A3577"/>
    <w:rsid w:val="00660522"/>
    <w:rsid w:val="00670B2C"/>
    <w:rsid w:val="006752A9"/>
    <w:rsid w:val="0074B665"/>
    <w:rsid w:val="00891AE9"/>
    <w:rsid w:val="00965ADE"/>
    <w:rsid w:val="00A825E6"/>
    <w:rsid w:val="00B200FD"/>
    <w:rsid w:val="00C61F31"/>
    <w:rsid w:val="00D331BF"/>
    <w:rsid w:val="00D45B4D"/>
    <w:rsid w:val="00D8507E"/>
    <w:rsid w:val="00E24E3D"/>
    <w:rsid w:val="00E78E4E"/>
    <w:rsid w:val="00F10990"/>
    <w:rsid w:val="00FD6F96"/>
    <w:rsid w:val="0166F4BE"/>
    <w:rsid w:val="01DB4BD8"/>
    <w:rsid w:val="023E7A60"/>
    <w:rsid w:val="02444B2C"/>
    <w:rsid w:val="0316D880"/>
    <w:rsid w:val="033633DE"/>
    <w:rsid w:val="035F82F0"/>
    <w:rsid w:val="03CFEC9F"/>
    <w:rsid w:val="045164AD"/>
    <w:rsid w:val="04CAE102"/>
    <w:rsid w:val="04FAD3DC"/>
    <w:rsid w:val="05100AC2"/>
    <w:rsid w:val="051FC533"/>
    <w:rsid w:val="058A8336"/>
    <w:rsid w:val="0596D077"/>
    <w:rsid w:val="05E34F4A"/>
    <w:rsid w:val="062A21DA"/>
    <w:rsid w:val="0715571F"/>
    <w:rsid w:val="07265637"/>
    <w:rsid w:val="0741AF7A"/>
    <w:rsid w:val="074C344D"/>
    <w:rsid w:val="07A82219"/>
    <w:rsid w:val="07A8EAE8"/>
    <w:rsid w:val="07BA2B1B"/>
    <w:rsid w:val="07D83D59"/>
    <w:rsid w:val="07F8B0BA"/>
    <w:rsid w:val="0807BBFE"/>
    <w:rsid w:val="0885CB48"/>
    <w:rsid w:val="08DEDE7C"/>
    <w:rsid w:val="09058750"/>
    <w:rsid w:val="094169DB"/>
    <w:rsid w:val="09AEC3AE"/>
    <w:rsid w:val="09C3C7C3"/>
    <w:rsid w:val="09CF92CC"/>
    <w:rsid w:val="0ADCE50B"/>
    <w:rsid w:val="0B0DD297"/>
    <w:rsid w:val="0B4A5C60"/>
    <w:rsid w:val="0BA7E8EC"/>
    <w:rsid w:val="0D09FA8B"/>
    <w:rsid w:val="0D744D62"/>
    <w:rsid w:val="0D77A524"/>
    <w:rsid w:val="0DA4403C"/>
    <w:rsid w:val="0DC40834"/>
    <w:rsid w:val="0EA5DC36"/>
    <w:rsid w:val="0FED1639"/>
    <w:rsid w:val="100A707B"/>
    <w:rsid w:val="1012CDE3"/>
    <w:rsid w:val="10E57E04"/>
    <w:rsid w:val="113CCC6E"/>
    <w:rsid w:val="113FC1C6"/>
    <w:rsid w:val="12DF2894"/>
    <w:rsid w:val="137393AE"/>
    <w:rsid w:val="14B8FF78"/>
    <w:rsid w:val="14D5042F"/>
    <w:rsid w:val="15246B0B"/>
    <w:rsid w:val="15DFA04F"/>
    <w:rsid w:val="1608B5AD"/>
    <w:rsid w:val="1612172A"/>
    <w:rsid w:val="1699F89E"/>
    <w:rsid w:val="16F71BCB"/>
    <w:rsid w:val="17621ED5"/>
    <w:rsid w:val="17CA6053"/>
    <w:rsid w:val="17E28C91"/>
    <w:rsid w:val="17FA85FE"/>
    <w:rsid w:val="1825CD4E"/>
    <w:rsid w:val="18661B56"/>
    <w:rsid w:val="18DAE168"/>
    <w:rsid w:val="19A43737"/>
    <w:rsid w:val="1A9D242E"/>
    <w:rsid w:val="1B1B1DFD"/>
    <w:rsid w:val="1BD7D64E"/>
    <w:rsid w:val="1C635153"/>
    <w:rsid w:val="1CDB7352"/>
    <w:rsid w:val="1D083E03"/>
    <w:rsid w:val="1D1AFADE"/>
    <w:rsid w:val="1D9F436B"/>
    <w:rsid w:val="1DB1E003"/>
    <w:rsid w:val="1F009C72"/>
    <w:rsid w:val="1F20C087"/>
    <w:rsid w:val="1F4AEC81"/>
    <w:rsid w:val="1FA0882B"/>
    <w:rsid w:val="1FC0E8BE"/>
    <w:rsid w:val="20470202"/>
    <w:rsid w:val="2089FE28"/>
    <w:rsid w:val="20B8F673"/>
    <w:rsid w:val="210B79C9"/>
    <w:rsid w:val="21851DDC"/>
    <w:rsid w:val="21CCAF94"/>
    <w:rsid w:val="221A287A"/>
    <w:rsid w:val="22500F3E"/>
    <w:rsid w:val="22F779B3"/>
    <w:rsid w:val="2396378A"/>
    <w:rsid w:val="239F018F"/>
    <w:rsid w:val="243F73E8"/>
    <w:rsid w:val="247D7A06"/>
    <w:rsid w:val="24AE7301"/>
    <w:rsid w:val="252AE4AE"/>
    <w:rsid w:val="25529CAD"/>
    <w:rsid w:val="2566AE14"/>
    <w:rsid w:val="25CA9974"/>
    <w:rsid w:val="25DEDAB6"/>
    <w:rsid w:val="25F4A6F4"/>
    <w:rsid w:val="25F63001"/>
    <w:rsid w:val="260C45A7"/>
    <w:rsid w:val="265B1992"/>
    <w:rsid w:val="268849E5"/>
    <w:rsid w:val="272AB0A5"/>
    <w:rsid w:val="281CF709"/>
    <w:rsid w:val="28769C54"/>
    <w:rsid w:val="289E4ED6"/>
    <w:rsid w:val="28AE175F"/>
    <w:rsid w:val="2920613C"/>
    <w:rsid w:val="29500942"/>
    <w:rsid w:val="2A2D5D24"/>
    <w:rsid w:val="2AB25C0F"/>
    <w:rsid w:val="2AE20BE2"/>
    <w:rsid w:val="2AE23EB3"/>
    <w:rsid w:val="2B212D4B"/>
    <w:rsid w:val="2B4E26D4"/>
    <w:rsid w:val="2B543324"/>
    <w:rsid w:val="2B625703"/>
    <w:rsid w:val="2BA0B1F7"/>
    <w:rsid w:val="2BCA1E69"/>
    <w:rsid w:val="2C3E6017"/>
    <w:rsid w:val="2CB45AE2"/>
    <w:rsid w:val="2CC991C8"/>
    <w:rsid w:val="2CE49CF1"/>
    <w:rsid w:val="2CEF2BDA"/>
    <w:rsid w:val="2D00D9B5"/>
    <w:rsid w:val="2D51EF61"/>
    <w:rsid w:val="2DD4510E"/>
    <w:rsid w:val="2E40A80F"/>
    <w:rsid w:val="2E9001CB"/>
    <w:rsid w:val="2EAB329C"/>
    <w:rsid w:val="2EE78EA3"/>
    <w:rsid w:val="2F0324F9"/>
    <w:rsid w:val="2F06286C"/>
    <w:rsid w:val="2F9C3CEA"/>
    <w:rsid w:val="2FADF521"/>
    <w:rsid w:val="2FD70AC0"/>
    <w:rsid w:val="2FF31EE1"/>
    <w:rsid w:val="2FFCB282"/>
    <w:rsid w:val="302DB19D"/>
    <w:rsid w:val="3087A818"/>
    <w:rsid w:val="30F360EB"/>
    <w:rsid w:val="3172DB21"/>
    <w:rsid w:val="3263037D"/>
    <w:rsid w:val="3391AF96"/>
    <w:rsid w:val="33E7EA7C"/>
    <w:rsid w:val="3414F6C0"/>
    <w:rsid w:val="34857289"/>
    <w:rsid w:val="34915386"/>
    <w:rsid w:val="35014BC3"/>
    <w:rsid w:val="35190324"/>
    <w:rsid w:val="365021D1"/>
    <w:rsid w:val="365C402A"/>
    <w:rsid w:val="36A509AA"/>
    <w:rsid w:val="36E9E701"/>
    <w:rsid w:val="37566B54"/>
    <w:rsid w:val="37749D71"/>
    <w:rsid w:val="3783F138"/>
    <w:rsid w:val="38045AA4"/>
    <w:rsid w:val="38381301"/>
    <w:rsid w:val="3863C809"/>
    <w:rsid w:val="391275C7"/>
    <w:rsid w:val="39C71CB1"/>
    <w:rsid w:val="39CFB57D"/>
    <w:rsid w:val="39E4EC63"/>
    <w:rsid w:val="3A762F54"/>
    <w:rsid w:val="3AF4B40D"/>
    <w:rsid w:val="3B0891C1"/>
    <w:rsid w:val="3B52A770"/>
    <w:rsid w:val="3B8E9D9C"/>
    <w:rsid w:val="3C02F2D1"/>
    <w:rsid w:val="3C7D03BA"/>
    <w:rsid w:val="3CA15590"/>
    <w:rsid w:val="3DDAB595"/>
    <w:rsid w:val="3DE6BEE6"/>
    <w:rsid w:val="3E3835CC"/>
    <w:rsid w:val="3E9224CC"/>
    <w:rsid w:val="3F0AE55A"/>
    <w:rsid w:val="3F29EC55"/>
    <w:rsid w:val="3F3B6A33"/>
    <w:rsid w:val="3F74399E"/>
    <w:rsid w:val="3F870F82"/>
    <w:rsid w:val="402D5688"/>
    <w:rsid w:val="4054D593"/>
    <w:rsid w:val="4087845D"/>
    <w:rsid w:val="40955739"/>
    <w:rsid w:val="4099F277"/>
    <w:rsid w:val="409FD15E"/>
    <w:rsid w:val="416F2825"/>
    <w:rsid w:val="41E665E2"/>
    <w:rsid w:val="4217FCF5"/>
    <w:rsid w:val="428E58C3"/>
    <w:rsid w:val="435E21AC"/>
    <w:rsid w:val="43BF0CB3"/>
    <w:rsid w:val="43E3E27C"/>
    <w:rsid w:val="43E5EA70"/>
    <w:rsid w:val="445639C2"/>
    <w:rsid w:val="44826DF6"/>
    <w:rsid w:val="448EDA43"/>
    <w:rsid w:val="44B7C1E6"/>
    <w:rsid w:val="44E57765"/>
    <w:rsid w:val="44F11BAD"/>
    <w:rsid w:val="450E43DC"/>
    <w:rsid w:val="4591835A"/>
    <w:rsid w:val="462F29E4"/>
    <w:rsid w:val="46559B97"/>
    <w:rsid w:val="46E84D91"/>
    <w:rsid w:val="47370AA4"/>
    <w:rsid w:val="477A4A38"/>
    <w:rsid w:val="478DDA84"/>
    <w:rsid w:val="479BC7BC"/>
    <w:rsid w:val="47D5BE89"/>
    <w:rsid w:val="48037E60"/>
    <w:rsid w:val="487CFAB5"/>
    <w:rsid w:val="4931986B"/>
    <w:rsid w:val="493E06AD"/>
    <w:rsid w:val="4955DF19"/>
    <w:rsid w:val="4A5E6FAC"/>
    <w:rsid w:val="4A7B931F"/>
    <w:rsid w:val="4ADEA3A3"/>
    <w:rsid w:val="4AF1AF7A"/>
    <w:rsid w:val="4B0D6796"/>
    <w:rsid w:val="4B2F4C51"/>
    <w:rsid w:val="4BF1536A"/>
    <w:rsid w:val="4C3AFC85"/>
    <w:rsid w:val="4C41748E"/>
    <w:rsid w:val="4C614BA7"/>
    <w:rsid w:val="4C735B5F"/>
    <w:rsid w:val="4CE7A90D"/>
    <w:rsid w:val="4D7DF162"/>
    <w:rsid w:val="4E05098E"/>
    <w:rsid w:val="4E611F6B"/>
    <w:rsid w:val="4E808FA9"/>
    <w:rsid w:val="4EEAC70C"/>
    <w:rsid w:val="4EF2C7FE"/>
    <w:rsid w:val="4F64899E"/>
    <w:rsid w:val="4FB145DA"/>
    <w:rsid w:val="507FBFCE"/>
    <w:rsid w:val="50B8E390"/>
    <w:rsid w:val="512ACDC6"/>
    <w:rsid w:val="5130DE04"/>
    <w:rsid w:val="5134BCCA"/>
    <w:rsid w:val="513E2DB1"/>
    <w:rsid w:val="513E6082"/>
    <w:rsid w:val="5178DA35"/>
    <w:rsid w:val="519D6257"/>
    <w:rsid w:val="51A6D70C"/>
    <w:rsid w:val="52299E77"/>
    <w:rsid w:val="53000B28"/>
    <w:rsid w:val="532BFF83"/>
    <w:rsid w:val="536A1AD5"/>
    <w:rsid w:val="53C20997"/>
    <w:rsid w:val="53F71017"/>
    <w:rsid w:val="543072DD"/>
    <w:rsid w:val="545AA0B0"/>
    <w:rsid w:val="54744B12"/>
    <w:rsid w:val="5491F5C5"/>
    <w:rsid w:val="54DE20E5"/>
    <w:rsid w:val="54EFD12D"/>
    <w:rsid w:val="551A500C"/>
    <w:rsid w:val="554BD67D"/>
    <w:rsid w:val="559C1E50"/>
    <w:rsid w:val="55AF94AA"/>
    <w:rsid w:val="55BD981D"/>
    <w:rsid w:val="566F4428"/>
    <w:rsid w:val="56914247"/>
    <w:rsid w:val="56C12BF8"/>
    <w:rsid w:val="56F414D5"/>
    <w:rsid w:val="574B650B"/>
    <w:rsid w:val="575883E5"/>
    <w:rsid w:val="57759A99"/>
    <w:rsid w:val="57ABEBD4"/>
    <w:rsid w:val="57D68B76"/>
    <w:rsid w:val="57E0F87C"/>
    <w:rsid w:val="586B192B"/>
    <w:rsid w:val="593F3294"/>
    <w:rsid w:val="594E9C51"/>
    <w:rsid w:val="59C49E71"/>
    <w:rsid w:val="5A469D79"/>
    <w:rsid w:val="5ABE2190"/>
    <w:rsid w:val="5ADB02F5"/>
    <w:rsid w:val="5B2B4451"/>
    <w:rsid w:val="5BEEA148"/>
    <w:rsid w:val="5C1E6151"/>
    <w:rsid w:val="5C3B201B"/>
    <w:rsid w:val="5C72F905"/>
    <w:rsid w:val="5CACE1BB"/>
    <w:rsid w:val="5CF20B7B"/>
    <w:rsid w:val="5D9BCC76"/>
    <w:rsid w:val="5DA15181"/>
    <w:rsid w:val="5DB0191D"/>
    <w:rsid w:val="5E2D3D10"/>
    <w:rsid w:val="5E45CCFA"/>
    <w:rsid w:val="5E5C5605"/>
    <w:rsid w:val="5E86B89F"/>
    <w:rsid w:val="5E970A88"/>
    <w:rsid w:val="5EB3B621"/>
    <w:rsid w:val="5F3FB233"/>
    <w:rsid w:val="5F47057C"/>
    <w:rsid w:val="5F4CAE4C"/>
    <w:rsid w:val="5F629250"/>
    <w:rsid w:val="5FB6FDB9"/>
    <w:rsid w:val="60CD8026"/>
    <w:rsid w:val="612D6314"/>
    <w:rsid w:val="61A47DA8"/>
    <w:rsid w:val="61DEDF5D"/>
    <w:rsid w:val="62673118"/>
    <w:rsid w:val="627C025C"/>
    <w:rsid w:val="627C352D"/>
    <w:rsid w:val="62A8FFDE"/>
    <w:rsid w:val="62C93375"/>
    <w:rsid w:val="63203C44"/>
    <w:rsid w:val="6352C837"/>
    <w:rsid w:val="63B58171"/>
    <w:rsid w:val="63CFC9FB"/>
    <w:rsid w:val="63D99A64"/>
    <w:rsid w:val="63E06F0E"/>
    <w:rsid w:val="641E9153"/>
    <w:rsid w:val="6438C79C"/>
    <w:rsid w:val="644CF361"/>
    <w:rsid w:val="64FC9523"/>
    <w:rsid w:val="65594373"/>
    <w:rsid w:val="6640E54E"/>
    <w:rsid w:val="6644B439"/>
    <w:rsid w:val="6685FF98"/>
    <w:rsid w:val="66CBA710"/>
    <w:rsid w:val="66D431BD"/>
    <w:rsid w:val="67481E6C"/>
    <w:rsid w:val="67B3C7F3"/>
    <w:rsid w:val="67BCE2CC"/>
    <w:rsid w:val="67C0072A"/>
    <w:rsid w:val="67DE203F"/>
    <w:rsid w:val="684B55CE"/>
    <w:rsid w:val="68AAE216"/>
    <w:rsid w:val="6918304F"/>
    <w:rsid w:val="695BD78B"/>
    <w:rsid w:val="695DDFFF"/>
    <w:rsid w:val="6A04E483"/>
    <w:rsid w:val="6A60452F"/>
    <w:rsid w:val="6AE39FF6"/>
    <w:rsid w:val="6BD15458"/>
    <w:rsid w:val="6BD44AF6"/>
    <w:rsid w:val="6C40D25C"/>
    <w:rsid w:val="6C7A4FF0"/>
    <w:rsid w:val="6CE74C33"/>
    <w:rsid w:val="6CEE8344"/>
    <w:rsid w:val="6CFFCC05"/>
    <w:rsid w:val="6D2C75F3"/>
    <w:rsid w:val="6D9A37F0"/>
    <w:rsid w:val="6DF2B733"/>
    <w:rsid w:val="6E4CFF60"/>
    <w:rsid w:val="6EA929AA"/>
    <w:rsid w:val="6F132079"/>
    <w:rsid w:val="70217DA6"/>
    <w:rsid w:val="7037F09C"/>
    <w:rsid w:val="7055D03B"/>
    <w:rsid w:val="7094C33C"/>
    <w:rsid w:val="70DACB8C"/>
    <w:rsid w:val="70DFF0EA"/>
    <w:rsid w:val="714DC113"/>
    <w:rsid w:val="718605F0"/>
    <w:rsid w:val="718637F0"/>
    <w:rsid w:val="71E305B1"/>
    <w:rsid w:val="72546473"/>
    <w:rsid w:val="72B738DD"/>
    <w:rsid w:val="7327CB93"/>
    <w:rsid w:val="73B9D707"/>
    <w:rsid w:val="73BE9629"/>
    <w:rsid w:val="741008CD"/>
    <w:rsid w:val="74784A4B"/>
    <w:rsid w:val="74907689"/>
    <w:rsid w:val="751AA673"/>
    <w:rsid w:val="75D1F041"/>
    <w:rsid w:val="7605BD2A"/>
    <w:rsid w:val="768940D9"/>
    <w:rsid w:val="76974AEF"/>
    <w:rsid w:val="76B64403"/>
    <w:rsid w:val="7714F529"/>
    <w:rsid w:val="771E4375"/>
    <w:rsid w:val="77268E34"/>
    <w:rsid w:val="776A8F77"/>
    <w:rsid w:val="77A18D8B"/>
    <w:rsid w:val="7870EF02"/>
    <w:rsid w:val="7885C046"/>
    <w:rsid w:val="788D62F8"/>
    <w:rsid w:val="78C4DDB6"/>
    <w:rsid w:val="7929812A"/>
    <w:rsid w:val="795C5FC8"/>
    <w:rsid w:val="798D6894"/>
    <w:rsid w:val="79B3BE55"/>
    <w:rsid w:val="79D52C56"/>
    <w:rsid w:val="7A1B4C8F"/>
    <w:rsid w:val="7A5FC9FB"/>
    <w:rsid w:val="7A63603C"/>
    <w:rsid w:val="7A6D4112"/>
    <w:rsid w:val="7A9DDFB9"/>
    <w:rsid w:val="7AA48E19"/>
    <w:rsid w:val="7B0BA7E6"/>
    <w:rsid w:val="7B1DB502"/>
    <w:rsid w:val="7B1E0A6E"/>
    <w:rsid w:val="7B31BBCD"/>
    <w:rsid w:val="7B38B42A"/>
    <w:rsid w:val="7B45C2C6"/>
    <w:rsid w:val="7BE10FA6"/>
    <w:rsid w:val="7BEE37FE"/>
    <w:rsid w:val="7C39B01A"/>
    <w:rsid w:val="7C4CCC7E"/>
    <w:rsid w:val="7D60B2D2"/>
    <w:rsid w:val="7D6E149E"/>
    <w:rsid w:val="7D863F21"/>
    <w:rsid w:val="7E4EDEE8"/>
    <w:rsid w:val="7E5B3D80"/>
    <w:rsid w:val="7E6A4A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B5C"/>
  <w15:chartTrackingRefBased/>
  <w15:docId w15:val="{C235E3BF-3344-489F-84C9-F3B2566F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0F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0FD"/>
    <w:pPr>
      <w:ind w:left="720"/>
    </w:pPr>
  </w:style>
  <w:style w:type="table" w:styleId="TableGrid">
    <w:name w:val="Table Grid"/>
    <w:basedOn w:val="TableNormal"/>
    <w:uiPriority w:val="39"/>
    <w:rsid w:val="00B200FD"/>
    <w:pPr>
      <w:spacing w:after="0" w:line="240" w:lineRule="auto"/>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6F96"/>
    <w:rPr>
      <w:sz w:val="16"/>
      <w:szCs w:val="16"/>
    </w:rPr>
  </w:style>
  <w:style w:type="paragraph" w:styleId="CommentText">
    <w:name w:val="annotation text"/>
    <w:basedOn w:val="Normal"/>
    <w:link w:val="CommentTextChar"/>
    <w:uiPriority w:val="99"/>
    <w:semiHidden/>
    <w:unhideWhenUsed/>
    <w:rsid w:val="00FD6F96"/>
    <w:rPr>
      <w:sz w:val="20"/>
      <w:szCs w:val="20"/>
    </w:rPr>
  </w:style>
  <w:style w:type="character" w:customStyle="1" w:styleId="CommentTextChar">
    <w:name w:val="Comment Text Char"/>
    <w:basedOn w:val="DefaultParagraphFont"/>
    <w:link w:val="CommentText"/>
    <w:uiPriority w:val="99"/>
    <w:semiHidden/>
    <w:rsid w:val="00FD6F9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D6F96"/>
    <w:rPr>
      <w:b/>
      <w:bCs/>
    </w:rPr>
  </w:style>
  <w:style w:type="character" w:customStyle="1" w:styleId="CommentSubjectChar">
    <w:name w:val="Comment Subject Char"/>
    <w:basedOn w:val="CommentTextChar"/>
    <w:link w:val="CommentSubject"/>
    <w:uiPriority w:val="99"/>
    <w:semiHidden/>
    <w:rsid w:val="00FD6F96"/>
    <w:rPr>
      <w:rFonts w:ascii="Arial" w:hAnsi="Arial"/>
      <w:b/>
      <w:bCs/>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customStyle="1" w:styleId="Title1">
    <w:name w:val="Title 1"/>
    <w:basedOn w:val="Normal"/>
    <w:link w:val="Title1Char"/>
    <w:qFormat/>
    <w:rsid w:val="695BD78B"/>
    <w:pPr>
      <w:spacing w:after="160"/>
      <w:ind w:left="357" w:hanging="357"/>
    </w:pPr>
    <w:rPr>
      <w:b/>
      <w:bCs/>
      <w:sz w:val="28"/>
      <w:szCs w:val="28"/>
    </w:rPr>
  </w:style>
  <w:style w:type="paragraph" w:customStyle="1" w:styleId="Title3">
    <w:name w:val="Title 3"/>
    <w:basedOn w:val="Normal"/>
    <w:link w:val="Title3Char"/>
    <w:qFormat/>
    <w:rsid w:val="695BD78B"/>
    <w:pPr>
      <w:spacing w:after="160"/>
      <w:ind w:hanging="357"/>
    </w:pPr>
    <w:rPr>
      <w:i/>
      <w:iCs/>
    </w:rPr>
  </w:style>
  <w:style w:type="character" w:customStyle="1" w:styleId="Title1Char">
    <w:name w:val="Title 1 Char"/>
    <w:basedOn w:val="DefaultParagraphFont"/>
    <w:link w:val="Title1"/>
    <w:rsid w:val="695BD78B"/>
    <w:rPr>
      <w:rFonts w:ascii="Arial" w:eastAsiaTheme="minorEastAsia" w:hAnsi="Arial" w:cstheme="minorBidi"/>
      <w:b/>
      <w:bCs/>
      <w:sz w:val="28"/>
      <w:szCs w:val="28"/>
      <w:lang w:eastAsia="en-US"/>
    </w:rPr>
  </w:style>
  <w:style w:type="character" w:customStyle="1" w:styleId="Style6">
    <w:name w:val="Style6"/>
    <w:basedOn w:val="DefaultParagraphFont"/>
    <w:rsid w:val="695BD78B"/>
    <w:rPr>
      <w:rFonts w:ascii="Arial" w:eastAsiaTheme="minorEastAsia" w:hAnsi="Arial" w:cstheme="minorBidi"/>
      <w:b/>
      <w:bCs/>
      <w:sz w:val="22"/>
      <w:szCs w:val="22"/>
    </w:rPr>
  </w:style>
  <w:style w:type="character" w:customStyle="1" w:styleId="Title3Char">
    <w:name w:val="Title 3 Char"/>
    <w:basedOn w:val="DefaultParagraphFont"/>
    <w:link w:val="Title3"/>
    <w:rsid w:val="695BD78B"/>
    <w:rPr>
      <w:rFonts w:ascii="Arial" w:eastAsiaTheme="minorEastAsia" w:hAnsi="Arial" w:cstheme="minorBidi"/>
      <w:i/>
      <w:iCs/>
      <w:lang w:eastAsia="en-US"/>
    </w:rPr>
  </w:style>
  <w:style w:type="character" w:customStyle="1" w:styleId="Style2">
    <w:name w:val="Style2"/>
    <w:basedOn w:val="DefaultParagraphFont"/>
    <w:rsid w:val="695BD78B"/>
    <w:rPr>
      <w:rFonts w:ascii="Arial" w:eastAsiaTheme="minorEastAsia" w:hAnsi="Arial" w:cstheme="minorBidi"/>
      <w:b/>
      <w:bCs/>
      <w:sz w:val="22"/>
      <w:szCs w:val="22"/>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4A3577"/>
    <w:pPr>
      <w:tabs>
        <w:tab w:val="center" w:pos="4513"/>
        <w:tab w:val="right" w:pos="9026"/>
      </w:tabs>
    </w:pPr>
  </w:style>
  <w:style w:type="character" w:customStyle="1" w:styleId="HeaderChar">
    <w:name w:val="Header Char"/>
    <w:basedOn w:val="DefaultParagraphFont"/>
    <w:link w:val="Header"/>
    <w:uiPriority w:val="99"/>
    <w:rsid w:val="004A3577"/>
    <w:rPr>
      <w:rFonts w:ascii="Arial" w:hAnsi="Arial"/>
    </w:rPr>
  </w:style>
  <w:style w:type="paragraph" w:styleId="Footer">
    <w:name w:val="footer"/>
    <w:basedOn w:val="Normal"/>
    <w:link w:val="FooterChar"/>
    <w:uiPriority w:val="99"/>
    <w:unhideWhenUsed/>
    <w:rsid w:val="004A3577"/>
    <w:pPr>
      <w:tabs>
        <w:tab w:val="center" w:pos="4513"/>
        <w:tab w:val="right" w:pos="9026"/>
      </w:tabs>
    </w:pPr>
  </w:style>
  <w:style w:type="character" w:customStyle="1" w:styleId="FooterChar">
    <w:name w:val="Footer Char"/>
    <w:basedOn w:val="DefaultParagraphFont"/>
    <w:link w:val="Footer"/>
    <w:uiPriority w:val="99"/>
    <w:rsid w:val="004A357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937416">
      <w:bodyDiv w:val="1"/>
      <w:marLeft w:val="0"/>
      <w:marRight w:val="0"/>
      <w:marTop w:val="0"/>
      <w:marBottom w:val="0"/>
      <w:divBdr>
        <w:top w:val="none" w:sz="0" w:space="0" w:color="auto"/>
        <w:left w:val="none" w:sz="0" w:space="0" w:color="auto"/>
        <w:bottom w:val="none" w:sz="0" w:space="0" w:color="auto"/>
        <w:right w:val="none" w:sz="0" w:space="0" w:color="auto"/>
      </w:divBdr>
    </w:div>
    <w:div w:id="20033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cal.gov.uk/our-support/climate-chang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mail:firstname.surname@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5EAF62AB0E4443893CB8880797AFE0"/>
        <w:category>
          <w:name w:val="General"/>
          <w:gallery w:val="placeholder"/>
        </w:category>
        <w:types>
          <w:type w:val="bbPlcHdr"/>
        </w:types>
        <w:behaviors>
          <w:behavior w:val="content"/>
        </w:behaviors>
        <w:guid w:val="{FE2AD41C-59F3-4E54-AB64-793B139C6044}"/>
      </w:docPartPr>
      <w:docPartBody>
        <w:p w:rsidR="00000000" w:rsidRDefault="008B676C" w:rsidP="008B676C">
          <w:pPr>
            <w:pStyle w:val="EF5EAF62AB0E4443893CB8880797AFE0"/>
          </w:pPr>
          <w:r>
            <w:rPr>
              <w:rStyle w:val="PlaceholderText"/>
            </w:rPr>
            <w:t>Click here to enter text.</w:t>
          </w:r>
        </w:p>
      </w:docPartBody>
    </w:docPart>
    <w:docPart>
      <w:docPartPr>
        <w:name w:val="290337F070BA4E628ADA2E1440A1EE6F"/>
        <w:category>
          <w:name w:val="General"/>
          <w:gallery w:val="placeholder"/>
        </w:category>
        <w:types>
          <w:type w:val="bbPlcHdr"/>
        </w:types>
        <w:behaviors>
          <w:behavior w:val="content"/>
        </w:behaviors>
        <w:guid w:val="{D355C674-5A95-4E16-991B-C71D84195359}"/>
      </w:docPartPr>
      <w:docPartBody>
        <w:p w:rsidR="00000000" w:rsidRDefault="008B676C" w:rsidP="008B676C">
          <w:pPr>
            <w:pStyle w:val="290337F070BA4E628ADA2E1440A1EE6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6C"/>
    <w:rsid w:val="008B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76C"/>
  </w:style>
  <w:style w:type="paragraph" w:customStyle="1" w:styleId="EF5EAF62AB0E4443893CB8880797AFE0">
    <w:name w:val="EF5EAF62AB0E4443893CB8880797AFE0"/>
    <w:rsid w:val="008B676C"/>
  </w:style>
  <w:style w:type="paragraph" w:customStyle="1" w:styleId="290337F070BA4E628ADA2E1440A1EE6F">
    <w:name w:val="290337F070BA4E628ADA2E1440A1EE6F"/>
    <w:rsid w:val="008B6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19677D8B1CFE44B97208FEB057513B" ma:contentTypeVersion="13" ma:contentTypeDescription="Create a new document." ma:contentTypeScope="" ma:versionID="9b88be87ea952aa7beacb6e737e0aad0">
  <xsd:schema xmlns:xsd="http://www.w3.org/2001/XMLSchema" xmlns:xs="http://www.w3.org/2001/XMLSchema" xmlns:p="http://schemas.microsoft.com/office/2006/metadata/properties" xmlns:ns2="e2a073db-2b24-4b53-a937-32c120915829" xmlns:ns3="90afd111-81ff-4eb0-a9e2-41d5e089355d" targetNamespace="http://schemas.microsoft.com/office/2006/metadata/properties" ma:root="true" ma:fieldsID="5b2678be8c5fe5fa2753b8d22fc58927" ns2:_="" ns3:_="">
    <xsd:import namespace="e2a073db-2b24-4b53-a937-32c120915829"/>
    <xsd:import namespace="90afd111-81ff-4eb0-a9e2-41d5e08935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73db-2b24-4b53-a937-32c120915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2CC58-1ACA-49E5-8D65-1AEFEE4E95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C1D9E6-DA78-4B57-856E-BC143F258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73db-2b24-4b53-a937-32c120915829"/>
    <ds:schemaRef ds:uri="90afd111-81ff-4eb0-a9e2-41d5e0893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336ED-ED17-4D60-98A7-24BCDBD6C3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Porter</dc:creator>
  <cp:keywords/>
  <dc:description/>
  <cp:lastModifiedBy>Fatima De Abreu</cp:lastModifiedBy>
  <cp:revision>10</cp:revision>
  <dcterms:created xsi:type="dcterms:W3CDTF">2021-11-08T13:34:00Z</dcterms:created>
  <dcterms:modified xsi:type="dcterms:W3CDTF">2021-11-08T15:33:00Z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0x0101005319677D8B1CFE44B97208FEB057513B</vt:lpwstr>
  </property>
</Properties>
</file>